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 POLGÁRMESTERÉTŐL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E l ő t e r j e s z t é s</w:t>
      </w:r>
    </w:p>
    <w:p w:rsidR="00943452" w:rsidRPr="00943452" w:rsidRDefault="00943452" w:rsidP="00943452">
      <w:pPr>
        <w:jc w:val="center"/>
        <w:rPr>
          <w:rFonts w:ascii="Times New Roman" w:eastAsia="Times New Roman" w:hAnsi="Times New Roman" w:cs="Times New Roman"/>
          <w:color w:val="auto"/>
          <w:lang w:val="hu-HU"/>
        </w:rPr>
      </w:pP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Községi Önkormányzat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proofErr w:type="spellStart"/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Képviselő-Testület</w:t>
      </w:r>
      <w:proofErr w:type="spellEnd"/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201</w:t>
      </w:r>
      <w:r w:rsidR="0040448A">
        <w:rPr>
          <w:rFonts w:ascii="Times New Roman" w:eastAsia="Times New Roman" w:hAnsi="Times New Roman" w:cs="Times New Roman"/>
          <w:color w:val="auto"/>
          <w:szCs w:val="20"/>
          <w:lang w:val="hu-HU"/>
        </w:rPr>
        <w:t>4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.</w:t>
      </w:r>
      <w:r w:rsidR="00E22DF6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február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  <w:r w:rsidR="00E22DF6">
        <w:rPr>
          <w:rFonts w:ascii="Times New Roman" w:eastAsia="Times New Roman" w:hAnsi="Times New Roman" w:cs="Times New Roman"/>
          <w:color w:val="auto"/>
          <w:szCs w:val="20"/>
          <w:lang w:val="hu-HU"/>
        </w:rPr>
        <w:t>0</w:t>
      </w:r>
      <w:r w:rsidR="0040448A">
        <w:rPr>
          <w:rFonts w:ascii="Times New Roman" w:eastAsia="Times New Roman" w:hAnsi="Times New Roman" w:cs="Times New Roman"/>
          <w:color w:val="auto"/>
          <w:szCs w:val="20"/>
          <w:lang w:val="hu-HU"/>
        </w:rPr>
        <w:t>3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-én tartandó 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nyilvános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ülésére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</w:p>
    <w:p w:rsidR="00943452" w:rsidRPr="00943452" w:rsidRDefault="00914ACC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>2</w:t>
      </w:r>
      <w:r w:rsidR="00943452" w:rsidRPr="00943452"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 xml:space="preserve">. Napirendi pont: </w:t>
      </w:r>
      <w:r w:rsidR="00943452"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</w:p>
    <w:p w:rsidR="00943452" w:rsidRPr="00943452" w:rsidRDefault="00943452" w:rsidP="00943452">
      <w:pPr>
        <w:keepNext/>
        <w:numPr>
          <w:ilvl w:val="0"/>
          <w:numId w:val="6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Tárgy: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A Tápiógyörgye Község Önkormányzat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201</w:t>
      </w:r>
      <w:r w:rsidR="0040448A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. évi költségvetési előterjesztésről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Előterjesztő: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  <w:t>Varró István polgármester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Készítette: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  <w:t>Dr. Papp Antal jegyző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>Mellékletek száma</w:t>
      </w: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</w:t>
      </w:r>
      <w:r w:rsidR="00FB3B3B">
        <w:rPr>
          <w:rFonts w:ascii="Times New Roman" w:eastAsia="Times New Roman" w:hAnsi="Times New Roman" w:cs="Times New Roman"/>
          <w:color w:val="auto"/>
          <w:lang w:val="hu-HU"/>
        </w:rPr>
        <w:t>24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db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Tárgyalta: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pénzügyi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bizottság 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Az előterjesztés elfogadásához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egy szavazás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szükséges:</w:t>
      </w:r>
    </w:p>
    <w:p w:rsidR="00943452" w:rsidRPr="00943452" w:rsidRDefault="00943452" w:rsidP="0094345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 határozathoz </w:t>
      </w:r>
      <w:r>
        <w:rPr>
          <w:rFonts w:ascii="Times New Roman" w:eastAsia="Times New Roman" w:hAnsi="Times New Roman" w:cstheme="minorBidi"/>
          <w:b/>
          <w:color w:val="auto"/>
          <w:lang w:val="hu-HU"/>
        </w:rPr>
        <w:t>névszerinti m</w:t>
      </w:r>
      <w:r w:rsidRPr="00F500A2">
        <w:rPr>
          <w:rFonts w:ascii="Times New Roman" w:eastAsia="Times New Roman" w:hAnsi="Times New Roman" w:cstheme="minorBidi"/>
          <w:b/>
          <w:color w:val="auto"/>
          <w:lang w:val="hu-HU"/>
        </w:rPr>
        <w:t xml:space="preserve">inősített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többségi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szavazás</w:t>
      </w:r>
    </w:p>
    <w:p w:rsidR="00943452" w:rsidRPr="00943452" w:rsidRDefault="00943452" w:rsidP="00943452">
      <w:pPr>
        <w:ind w:left="72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szükséges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D87013" w:rsidRPr="00973259" w:rsidRDefault="00D87013" w:rsidP="00D87013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BE53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  <w:t>Tisztelt Képviselő-testület!</w:t>
      </w:r>
    </w:p>
    <w:p w:rsidR="00D87013" w:rsidRPr="00984BBE" w:rsidRDefault="00D87013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84BBE" w:rsidRPr="00984BBE" w:rsidRDefault="00984BBE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Államháztartásról szóló </w:t>
      </w:r>
      <w:r w:rsidRPr="00984BBE">
        <w:rPr>
          <w:rFonts w:ascii="Times New Roman" w:eastAsiaTheme="minorEastAsia" w:hAnsi="Times New Roman" w:cs="Times New Roman"/>
          <w:bCs/>
          <w:noProof/>
          <w:color w:val="auto"/>
          <w:lang w:val="hu-HU"/>
        </w:rPr>
        <w:t xml:space="preserve">2011. évi CXCV.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törvényben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(továbbiakban Áht.)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előírt feladatának eleget téve Képviselő-testületünk a 201</w:t>
      </w:r>
      <w:r w:rsidR="00FB3B3B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FB3B3B">
        <w:rPr>
          <w:rFonts w:ascii="Times New Roman" w:eastAsia="Times New Roman" w:hAnsi="Times New Roman" w:cs="Times New Roman"/>
          <w:color w:val="auto"/>
          <w:lang w:val="hu-HU"/>
        </w:rPr>
        <w:t>április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FB3B3B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-i ülésén első fordulóban már megtárgyalta 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önkormányzatunk 201</w:t>
      </w:r>
      <w:r w:rsidR="00FB3B3B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évre vonatkozó költségvetési elgondolásait. 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Az előterjesztésben leírtak véleményezése után a Képviselő-testület határozatával döntött a költségvetés tervezésének irányelveiről és rögzítette a tervező munka soron lévő feladatait.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intézmények vezetői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meg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kapták a 201</w:t>
      </w:r>
      <w:r w:rsidR="00115B1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 elkészítéséről szóló, a Jegyző és a Polgármester által jóváhagyott útmutatót, melynek alapján teljes részletességgel kidolgozták elemi szinten a 201</w:t>
      </w:r>
      <w:r w:rsidR="00115B1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költségvetésüket.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Az intézményi költségvetéseket a 201</w:t>
      </w:r>
      <w:r w:rsidR="00115B1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január 2</w:t>
      </w:r>
      <w:r w:rsidR="00115B15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á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n megtartott költségvetési egyeztető tárgyalások során jegyzőkönyvileg véglegesítettük.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Polgármesteri Hivatal vezetése és az intézményvezetők tételmélységig egyeztették a bevételi és kiadási előirányzatokat. A korrigált költségvetések bevételi és kiadási előirányzatait önkormányzatunk költségvetésébe beépítettük.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Pontosításra kerültek a számításba jöhető források és azok összegei, valamint az anyagi lehetőségekhez igazodóan a felhasználások és azok mértékei.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tervegyeztetések során reális, az intézmények éves szintű működését biztosító költségvetések kerültek véglegesítésre.</w:t>
      </w:r>
    </w:p>
    <w:p w:rsidR="00065DA1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Ismeretes, hogy a Magyar Köztársaság 201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költségvetését (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. évi CC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XXX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. törvény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) az Országgyűlés 201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december 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20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i ülésén hagyta jóvá és a 201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. december </w:t>
      </w:r>
      <w:r w:rsidR="00660255">
        <w:rPr>
          <w:rFonts w:ascii="Times New Roman" w:eastAsia="Times New Roman" w:hAnsi="Times New Roman" w:cs="Times New Roman"/>
          <w:color w:val="auto"/>
          <w:lang w:val="hu-HU"/>
        </w:rPr>
        <w:t>21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-i Magyar közlönybe került kihirdetésre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Így a tervezés során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ezután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már rendelkezésre álltak a költségvetési törvényben az önkormányzatunkra vonatkozóan megállapított normatív állami hozzájárulások jogcímei és összegei, a megosztott bevételek mértékei és részarányai, valamint a normatív módon elosztott kötött felhasználású támogatások.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Ezen kívül viszont sok központi statisztikailag számított normatíva csak 201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. év január 5. után volt elérhető Önkormányzatunk részére.</w:t>
      </w: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74AF2" w:rsidRPr="009B5AAE" w:rsidRDefault="00274AF2" w:rsidP="00984BBE">
      <w:pPr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9B5AAE">
        <w:rPr>
          <w:rFonts w:ascii="Times New Roman" w:eastAsia="Times New Roman" w:hAnsi="Times New Roman" w:cs="Times New Roman"/>
          <w:b/>
          <w:color w:val="auto"/>
          <w:lang w:val="hu-HU"/>
        </w:rPr>
        <w:t>A 2013. évi költségvetés tárgyalásai eddig időrendi sorrendben:</w:t>
      </w:r>
    </w:p>
    <w:p w:rsidR="00274AF2" w:rsidRDefault="00274AF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74AF2">
        <w:rPr>
          <w:rFonts w:ascii="Times New Roman" w:eastAsia="Times New Roman" w:hAnsi="Times New Roman" w:cs="Times New Roman"/>
          <w:color w:val="auto"/>
          <w:lang w:val="hu-HU"/>
        </w:rPr>
        <w:t>2012.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október 25-e a költségvetés szerkezetének elfogadása.</w:t>
      </w:r>
    </w:p>
    <w:p w:rsidR="00274AF2" w:rsidRDefault="00274AF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2012. november 19. a reorganizációs terv elfogadása.</w:t>
      </w:r>
    </w:p>
    <w:p w:rsidR="003669CD" w:rsidRDefault="003669CD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április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2</w:t>
      </w:r>
      <w:r>
        <w:rPr>
          <w:rFonts w:ascii="Times New Roman" w:eastAsia="Times New Roman" w:hAnsi="Times New Roman" w:cs="Times New Roman"/>
          <w:color w:val="auto"/>
          <w:lang w:val="hu-HU"/>
        </w:rPr>
        <w:t>9. a 201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 évi koncepció elfogadása.</w:t>
      </w:r>
    </w:p>
    <w:p w:rsidR="00274AF2" w:rsidRDefault="003669CD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52705">
        <w:rPr>
          <w:rFonts w:ascii="Times New Roman" w:eastAsia="Times New Roman" w:hAnsi="Times New Roman" w:cs="Times New Roman"/>
          <w:color w:val="auto"/>
          <w:lang w:val="hu-HU"/>
        </w:rPr>
        <w:t>december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2. önkormányzatnál alkalmazott díj és ártételek.</w:t>
      </w:r>
    </w:p>
    <w:p w:rsidR="00452705" w:rsidRDefault="00452705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B7B8A" w:rsidRDefault="009B7B8A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képviselő-testület a fentebb leírtak alapján</w:t>
      </w:r>
      <w:r w:rsidR="00463CE2">
        <w:rPr>
          <w:sz w:val="24"/>
          <w:szCs w:val="24"/>
        </w:rPr>
        <w:t xml:space="preserve"> </w:t>
      </w:r>
      <w:r w:rsidR="00DC23B5">
        <w:rPr>
          <w:sz w:val="24"/>
          <w:szCs w:val="24"/>
        </w:rPr>
        <w:t xml:space="preserve">a mai napon kívül </w:t>
      </w:r>
      <w:r w:rsidR="0084582B">
        <w:rPr>
          <w:sz w:val="24"/>
          <w:szCs w:val="24"/>
        </w:rPr>
        <w:t xml:space="preserve">legalább </w:t>
      </w:r>
      <w:r w:rsidR="00452705">
        <w:rPr>
          <w:sz w:val="24"/>
          <w:szCs w:val="24"/>
        </w:rPr>
        <w:t>4</w:t>
      </w:r>
      <w:r w:rsidR="003941FF">
        <w:rPr>
          <w:sz w:val="24"/>
          <w:szCs w:val="24"/>
        </w:rPr>
        <w:t xml:space="preserve"> alkalommal foglalkozott eddig a 201</w:t>
      </w:r>
      <w:r w:rsidR="00452705">
        <w:rPr>
          <w:sz w:val="24"/>
          <w:szCs w:val="24"/>
        </w:rPr>
        <w:t>4</w:t>
      </w:r>
      <w:r w:rsidR="003941FF">
        <w:rPr>
          <w:sz w:val="24"/>
          <w:szCs w:val="24"/>
        </w:rPr>
        <w:t>. évi költségvetéssel.</w:t>
      </w:r>
      <w:r>
        <w:rPr>
          <w:sz w:val="24"/>
          <w:szCs w:val="24"/>
        </w:rPr>
        <w:t xml:space="preserve"> </w:t>
      </w:r>
      <w:r w:rsidR="00463CE2">
        <w:rPr>
          <w:sz w:val="24"/>
          <w:szCs w:val="24"/>
        </w:rPr>
        <w:t xml:space="preserve">A képviselő-testületi és a pénzügyi bizottsági ülésekről jegyzőkönyvek készültek. </w:t>
      </w:r>
    </w:p>
    <w:p w:rsidR="00FF519C" w:rsidRDefault="00FF519C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A3B47" w:rsidRPr="00984BBE" w:rsidRDefault="00984BBE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984BBE">
        <w:rPr>
          <w:sz w:val="24"/>
          <w:szCs w:val="24"/>
        </w:rPr>
        <w:t>A 201</w:t>
      </w:r>
      <w:r w:rsidR="00452705">
        <w:rPr>
          <w:sz w:val="24"/>
          <w:szCs w:val="24"/>
        </w:rPr>
        <w:t>3</w:t>
      </w:r>
      <w:r w:rsidRPr="00984BBE">
        <w:rPr>
          <w:sz w:val="24"/>
          <w:szCs w:val="24"/>
        </w:rPr>
        <w:t xml:space="preserve">. év </w:t>
      </w:r>
      <w:r w:rsidR="00452705">
        <w:rPr>
          <w:sz w:val="24"/>
          <w:szCs w:val="24"/>
        </w:rPr>
        <w:t>egészében</w:t>
      </w:r>
      <w:r w:rsidRPr="00984BBE">
        <w:rPr>
          <w:sz w:val="24"/>
          <w:szCs w:val="24"/>
        </w:rPr>
        <w:t>, decemberében megtartott Képviselő-testületi</w:t>
      </w:r>
      <w:r w:rsidR="00452705">
        <w:rPr>
          <w:sz w:val="24"/>
          <w:szCs w:val="24"/>
        </w:rPr>
        <w:t>,</w:t>
      </w:r>
      <w:r w:rsidRPr="00984BBE">
        <w:rPr>
          <w:sz w:val="24"/>
          <w:szCs w:val="24"/>
        </w:rPr>
        <w:t xml:space="preserve"> </w:t>
      </w:r>
      <w:r w:rsidR="00614D69">
        <w:t xml:space="preserve">pénzügyi </w:t>
      </w:r>
      <w:r w:rsidRPr="00984BBE">
        <w:rPr>
          <w:sz w:val="24"/>
          <w:szCs w:val="24"/>
        </w:rPr>
        <w:t xml:space="preserve">bizottsági üléseken elhangzott javaslatokat, észrevételeket </w:t>
      </w:r>
      <w:proofErr w:type="spellStart"/>
      <w:r w:rsidRPr="00984BBE">
        <w:rPr>
          <w:sz w:val="24"/>
          <w:szCs w:val="24"/>
        </w:rPr>
        <w:t>teljeskörűen</w:t>
      </w:r>
      <w:proofErr w:type="spellEnd"/>
      <w:r w:rsidRPr="00984BBE">
        <w:rPr>
          <w:sz w:val="24"/>
          <w:szCs w:val="24"/>
        </w:rPr>
        <w:t xml:space="preserve"> figyelembe vettük a javaslat elkészítésénél.</w:t>
      </w:r>
      <w:r w:rsidR="004A3B47" w:rsidRPr="004A3B47">
        <w:rPr>
          <w:sz w:val="24"/>
          <w:szCs w:val="24"/>
        </w:rPr>
        <w:t xml:space="preserve"> </w:t>
      </w:r>
      <w:r w:rsidR="004A3B47" w:rsidRPr="00984BBE">
        <w:rPr>
          <w:sz w:val="24"/>
          <w:szCs w:val="24"/>
        </w:rPr>
        <w:t xml:space="preserve">A </w:t>
      </w:r>
      <w:r w:rsidR="00452705">
        <w:rPr>
          <w:sz w:val="24"/>
          <w:szCs w:val="24"/>
        </w:rPr>
        <w:t>mostani</w:t>
      </w:r>
      <w:r w:rsidR="004A3B47" w:rsidRPr="00984BBE">
        <w:rPr>
          <w:sz w:val="24"/>
          <w:szCs w:val="24"/>
        </w:rPr>
        <w:t xml:space="preserve"> pénzügyi bizottsági </w:t>
      </w:r>
      <w:r w:rsidR="005323A9">
        <w:rPr>
          <w:sz w:val="24"/>
          <w:szCs w:val="24"/>
        </w:rPr>
        <w:t>és a 201</w:t>
      </w:r>
      <w:r w:rsidR="00452705">
        <w:rPr>
          <w:sz w:val="24"/>
          <w:szCs w:val="24"/>
        </w:rPr>
        <w:t>4</w:t>
      </w:r>
      <w:r w:rsidR="005323A9">
        <w:rPr>
          <w:sz w:val="24"/>
          <w:szCs w:val="24"/>
        </w:rPr>
        <w:t xml:space="preserve">. február </w:t>
      </w:r>
      <w:r w:rsidR="00452705">
        <w:rPr>
          <w:sz w:val="24"/>
          <w:szCs w:val="24"/>
        </w:rPr>
        <w:t>03</w:t>
      </w:r>
      <w:r w:rsidR="005323A9">
        <w:rPr>
          <w:sz w:val="24"/>
          <w:szCs w:val="24"/>
        </w:rPr>
        <w:t xml:space="preserve">-i képviselő-testületi ülésen </w:t>
      </w:r>
      <w:r w:rsidR="004A3B47" w:rsidRPr="00984BBE">
        <w:rPr>
          <w:sz w:val="24"/>
          <w:szCs w:val="24"/>
        </w:rPr>
        <w:t>beterjesztésre kerül</w:t>
      </w:r>
      <w:r w:rsidR="00452705">
        <w:rPr>
          <w:sz w:val="24"/>
          <w:szCs w:val="24"/>
        </w:rPr>
        <w:t>n</w:t>
      </w:r>
      <w:r w:rsidR="004A3B47" w:rsidRPr="00984BBE">
        <w:rPr>
          <w:sz w:val="24"/>
          <w:szCs w:val="24"/>
        </w:rPr>
        <w:t xml:space="preserve">ek </w:t>
      </w:r>
      <w:proofErr w:type="gramStart"/>
      <w:r w:rsidR="004A3B47" w:rsidRPr="00984BBE">
        <w:rPr>
          <w:sz w:val="24"/>
          <w:szCs w:val="24"/>
        </w:rPr>
        <w:t>a</w:t>
      </w:r>
      <w:proofErr w:type="gramEnd"/>
      <w:r w:rsidR="004A3B47" w:rsidRPr="00984BBE">
        <w:rPr>
          <w:sz w:val="24"/>
          <w:szCs w:val="24"/>
        </w:rPr>
        <w:t xml:space="preserve"> 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költségvetési táblák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 költségvetési rendelet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az intézményekkel lefolytatott egyeztetések jegyzőkönyve.</w:t>
      </w:r>
    </w:p>
    <w:p w:rsidR="004A3B47" w:rsidRPr="00984BBE" w:rsidRDefault="004A3B47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F49CA" w:rsidRPr="009F49CA" w:rsidRDefault="009F49CA" w:rsidP="009F49CA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9F49CA">
        <w:rPr>
          <w:sz w:val="24"/>
          <w:szCs w:val="24"/>
        </w:rPr>
        <w:t xml:space="preserve">államháztartásról szóló törvény végrehajtásáról </w:t>
      </w:r>
      <w:r>
        <w:rPr>
          <w:sz w:val="24"/>
          <w:szCs w:val="24"/>
        </w:rPr>
        <w:t xml:space="preserve">intézkedő </w:t>
      </w:r>
      <w:r w:rsidRPr="009F49CA">
        <w:rPr>
          <w:sz w:val="24"/>
          <w:szCs w:val="24"/>
        </w:rPr>
        <w:t xml:space="preserve">368/2011. (XII. 31.) Korm. rendelet </w:t>
      </w:r>
      <w:r>
        <w:rPr>
          <w:sz w:val="24"/>
          <w:szCs w:val="24"/>
        </w:rPr>
        <w:t xml:space="preserve">(továbbiakban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 xml:space="preserve">.) erre vonatkozóan a következőket írja elő: </w:t>
      </w:r>
    </w:p>
    <w:p w:rsidR="009F49CA" w:rsidRPr="00D45053" w:rsidRDefault="00D45053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„</w:t>
      </w:r>
      <w:r w:rsidR="009F49CA" w:rsidRPr="00D45053">
        <w:rPr>
          <w:i/>
          <w:sz w:val="24"/>
          <w:szCs w:val="24"/>
        </w:rPr>
        <w:t xml:space="preserve">26.§ (1) A jegyző a helyi önkormányzat költségvetési koncepcióját a tervezett bevételek, a kötelezettségvállalások és más fizetési kötelezettségek, és a Kormány Áht. 13. § (1) bekezdése szerinti döntései figyelembevételével állítja össze.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költségvetési koncepció tervezetéről a helyi önkormányzatnál működő bizottságok véleményét a szervezeti és működési szabályzatban foglaltak szerint kikéri, és azt a költségvetési koncepció tervezetéhez csatolja. A pénzügyi bizottságnak a költségvetési koncepció tervezetének egészéről véleményt kell alkotnia.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(3) A költségvetési koncepció tervezetét a képviselő-testület a bizottságok véleményével együtt megtárgyalja, és határozatot hoz a költségvetés-készítés további munkálatairól.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27. § (1) A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(2) A polgármester a képviselő-testület elé terjeszti a bizottságok által megtárgyalt rendelettervezetet, amelyhez csatolja legalább a pénzügyi bizottság írásos véleményét. </w:t>
      </w:r>
      <w:r w:rsidR="00D45053" w:rsidRPr="00D45053">
        <w:rPr>
          <w:i/>
          <w:sz w:val="24"/>
          <w:szCs w:val="24"/>
        </w:rPr>
        <w:t>„</w:t>
      </w:r>
    </w:p>
    <w:p w:rsidR="00984BBE" w:rsidRPr="00984BBE" w:rsidRDefault="00984BBE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984BBE" w:rsidRPr="00984BBE" w:rsidRDefault="00A226D8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>A hivatkozott jogszabály alapján a polgármester és a jegyző a feladatait a költségvetés készítésével kapcsolatosan maximálisan elvégezte.</w:t>
      </w:r>
    </w:p>
    <w:p w:rsidR="00984BBE" w:rsidRPr="00984BBE" w:rsidRDefault="00984BBE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Előterjesztésünk és rendelet-tervezetünk szerkezeti rendjének kialakításánál és tartalmi előírásainál az Á</w:t>
      </w:r>
      <w:r>
        <w:rPr>
          <w:sz w:val="24"/>
          <w:szCs w:val="24"/>
        </w:rPr>
        <w:t>ht.</w:t>
      </w:r>
      <w:r w:rsidRPr="00BE5A8F">
        <w:rPr>
          <w:sz w:val="24"/>
          <w:szCs w:val="24"/>
        </w:rPr>
        <w:t xml:space="preserve"> törvényben, valamint a költségvetési szervek tervezésének, gazdálkodásának, beszámolásának rendszeréről kiadott Kormányrendeletben leírtak alapján jártunk el.</w:t>
      </w: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 xml:space="preserve">A médiákból mindenki számára ismeretes, hogy a jelenlegi gazdasági körülmények </w:t>
      </w:r>
      <w:r w:rsidR="000C432E">
        <w:rPr>
          <w:sz w:val="24"/>
          <w:szCs w:val="24"/>
        </w:rPr>
        <w:t xml:space="preserve">2014. évi választások </w:t>
      </w:r>
      <w:r w:rsidRPr="00BE5A8F">
        <w:rPr>
          <w:sz w:val="24"/>
          <w:szCs w:val="24"/>
        </w:rPr>
        <w:t>miatt az Önkormányzatoknál egy nagyobb mértékű átszervezés jelentkezett a 201</w:t>
      </w:r>
      <w:r w:rsidR="000C432E">
        <w:rPr>
          <w:sz w:val="24"/>
          <w:szCs w:val="24"/>
        </w:rPr>
        <w:t>4</w:t>
      </w:r>
      <w:r w:rsidRPr="00BE5A8F">
        <w:rPr>
          <w:sz w:val="24"/>
          <w:szCs w:val="24"/>
        </w:rPr>
        <w:t xml:space="preserve">. évi költségvetésben. </w:t>
      </w: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lastRenderedPageBreak/>
        <w:t>Önkormányzatunk 201</w:t>
      </w:r>
      <w:r w:rsidR="000C432E">
        <w:rPr>
          <w:sz w:val="24"/>
          <w:szCs w:val="24"/>
        </w:rPr>
        <w:t>4</w:t>
      </w:r>
      <w:r w:rsidRPr="00BE5A8F">
        <w:rPr>
          <w:sz w:val="24"/>
          <w:szCs w:val="24"/>
        </w:rPr>
        <w:t>. évre vonatkozó pénzügyi tervének összeállítása az idáig részletezettek alapján készült.</w:t>
      </w:r>
    </w:p>
    <w:p w:rsidR="00CD5C86" w:rsidRDefault="00CD5C86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u w:val="single"/>
          <w:lang w:val="hu-HU"/>
        </w:rPr>
      </w:pPr>
    </w:p>
    <w:p w:rsidR="00635E50" w:rsidRPr="00635E50" w:rsidRDefault="00635E50" w:rsidP="00CD5C86">
      <w:pP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Bevételek:</w:t>
      </w:r>
    </w:p>
    <w:p w:rsidR="00635E50" w:rsidRDefault="00635E50" w:rsidP="00CD5C8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</w:p>
    <w:p w:rsidR="008579E6" w:rsidRPr="00204C28" w:rsidRDefault="008579E6" w:rsidP="00CD5C8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04C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I. Működési bevételek</w:t>
      </w:r>
    </w:p>
    <w:p w:rsidR="00CC3949" w:rsidRPr="00CD5C86" w:rsidRDefault="00CC3949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A működési bevételek kettő fő területből tevődnek össze.</w:t>
      </w:r>
    </w:p>
    <w:p w:rsidR="00CC3949" w:rsidRPr="00CD5C86" w:rsidRDefault="00CC3949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8579E6" w:rsidRPr="00CD5C86" w:rsidRDefault="008579E6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Intézményi működési bevételek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Bevételi előirányzataink az intézményeink által kimunkált, bevételi jogcímek szerint részletezett tervszámokon alapulnak. 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Igyekeztünk intézményeinknél minden számításba jöhető forrást feltárni, a teljességre törekedni és a gazdálkodás egyszerűsítését megtenni.</w:t>
      </w:r>
    </w:p>
    <w:p w:rsidR="004143AE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Intézményi működési bevételek közül </w:t>
      </w:r>
      <w:r w:rsidR="00FF4EAA">
        <w:rPr>
          <w:rFonts w:ascii="Times New Roman" w:eastAsia="Times New Roman" w:hAnsi="Times New Roman" w:cs="Times New Roman"/>
          <w:color w:val="auto"/>
          <w:lang w:val="hu-HU"/>
        </w:rPr>
        <w:t xml:space="preserve">a legnagyobb tételt a konyha bevételei jelentik. Az 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1. számú mellékletben az intézmények működési bevételei jogcímenként jelenek meg. Intézményenkénti bontásban a 2 számú melléklet 1-13 soráig találhatók római I. számnál összesítve.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 xml:space="preserve">Az intézmények működési bevételeinek teljes részletezettsége </w:t>
      </w:r>
      <w:r w:rsidR="00F517FD">
        <w:rPr>
          <w:rFonts w:ascii="Times New Roman" w:eastAsia="Times New Roman" w:hAnsi="Times New Roman" w:cs="Times New Roman"/>
          <w:color w:val="auto"/>
          <w:lang w:val="hu-HU"/>
        </w:rPr>
        <w:t xml:space="preserve">intézményenkénti bontásban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>a 2.</w:t>
      </w:r>
      <w:r w:rsidR="00AC72CD">
        <w:rPr>
          <w:rFonts w:ascii="Times New Roman" w:eastAsia="Times New Roman" w:hAnsi="Times New Roman" w:cs="Times New Roman"/>
          <w:color w:val="auto"/>
          <w:lang w:val="hu-HU"/>
        </w:rPr>
        <w:t>/</w:t>
      </w:r>
      <w:proofErr w:type="gramStart"/>
      <w:r w:rsidR="004143AE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4143AE">
        <w:rPr>
          <w:rFonts w:ascii="Times New Roman" w:eastAsia="Times New Roman" w:hAnsi="Times New Roman" w:cs="Times New Roman"/>
          <w:color w:val="auto"/>
          <w:lang w:val="hu-HU"/>
        </w:rPr>
        <w:t>. számú mellékletben találhatók.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D4C7F" w:rsidRDefault="00AC72CD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mellékletben található első intézmény konyha bevételei három fő részből tevődnek össze</w:t>
      </w:r>
      <w:r w:rsidR="007D4C7F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143AE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étkezési bevételek</w:t>
      </w:r>
    </w:p>
    <w:p w:rsid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rezsiköltség bevételek</w:t>
      </w:r>
    </w:p>
    <w:p w:rsidR="007D4C7F" w:rsidRP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ÁFA bevételek</w:t>
      </w:r>
    </w:p>
    <w:p w:rsidR="00C91179" w:rsidRDefault="007D4C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étkezési költségek további megosztásra kerülnek:</w:t>
      </w:r>
    </w:p>
    <w:p w:rsidR="007D4C7F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teljes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étkezést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(ezek pl. táborozok, munkahelyi étkezők)</w:t>
      </w:r>
    </w:p>
    <w:p w:rsid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csak anyag költséget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óvodások, tanul</w:t>
      </w:r>
      <w:r w:rsidR="005D4F69">
        <w:rPr>
          <w:rFonts w:ascii="Times New Roman" w:eastAsia="Times New Roman" w:hAnsi="Times New Roman" w:cs="Times New Roman"/>
          <w:color w:val="auto"/>
          <w:lang w:val="hu-HU"/>
        </w:rPr>
        <w:t>ó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k)</w:t>
      </w:r>
    </w:p>
    <w:p w:rsidR="00240BC9" w:rsidRDefault="00240BC9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szociális támogatásba részesülők</w:t>
      </w:r>
    </w:p>
    <w:p w:rsidR="00014884" w:rsidRDefault="00014884" w:rsidP="00014884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14884">
        <w:rPr>
          <w:rFonts w:ascii="Times New Roman" w:eastAsia="Times New Roman" w:hAnsi="Times New Roman" w:cs="Times New Roman"/>
          <w:color w:val="auto"/>
          <w:lang w:val="hu-HU"/>
        </w:rPr>
        <w:t>III.5. a) Finanszírozás szempontjából elismert dolgozók támogatása (Konyha)</w:t>
      </w:r>
    </w:p>
    <w:p w:rsidR="00014884" w:rsidRPr="00014884" w:rsidRDefault="00014884" w:rsidP="00014884">
      <w:pPr>
        <w:ind w:left="36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14884" w:rsidRDefault="00014884" w:rsidP="00014884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Jelenleg a konyha költségvetés tervezésekor egy nagy problémával szembesültünk. Az a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dolgozok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bérét finanszírozza le valamilyen mértékben, de nem jelenik meg</w:t>
      </w:r>
    </w:p>
    <w:p w:rsidR="00D71623" w:rsidRDefault="00D71623" w:rsidP="00014884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14884">
        <w:rPr>
          <w:rFonts w:ascii="Times New Roman" w:eastAsia="Times New Roman" w:hAnsi="Times New Roman" w:cs="Times New Roman"/>
          <w:color w:val="auto"/>
          <w:lang w:val="hu-HU"/>
        </w:rPr>
        <w:t>50 %-os és 100 %-os állami megtérítésben részesülök.</w:t>
      </w:r>
      <w:r w:rsidR="00240BC9" w:rsidRPr="00014884">
        <w:rPr>
          <w:rFonts w:ascii="Times New Roman" w:eastAsia="Times New Roman" w:hAnsi="Times New Roman" w:cs="Times New Roman"/>
          <w:color w:val="auto"/>
          <w:lang w:val="hu-HU"/>
        </w:rPr>
        <w:t xml:space="preserve"> (pl. gyermekvédelmi támogatásba részesülők)</w:t>
      </w:r>
    </w:p>
    <w:p w:rsidR="00014884" w:rsidRPr="00014884" w:rsidRDefault="00014884" w:rsidP="00014884">
      <w:pPr>
        <w:pStyle w:val="Listaszerbekezds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És a működési költségek (Villany, gáz, stb.) finanszírozására sincs fedezet. </w:t>
      </w:r>
    </w:p>
    <w:p w:rsidR="005323A9" w:rsidRDefault="00014884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Ezt már több önkormányzat is megreklamálta azt az információt kaptuk, hogy február 5 után vérható valamilyen jelegű felosztás ezzel kapcsolatosan. </w:t>
      </w:r>
    </w:p>
    <w:p w:rsidR="00014884" w:rsidRDefault="00014884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Ezen okoknál fogva a Támogatási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bevétek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esetében közel 13 millió forint hiány jelentkezik. </w:t>
      </w:r>
    </w:p>
    <w:p w:rsidR="00014884" w:rsidRDefault="00014884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C07" w:rsidRDefault="00094C0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teljes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étkezők kifizetik teljes egészében az étel előállításához szükséges összes költséget (anyag költség, rezsi költség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is). </w:t>
      </w:r>
    </w:p>
    <w:p w:rsidR="00094C07" w:rsidRDefault="00094C0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csak anyag költséget fizetők</w:t>
      </w:r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, mint a nevében is benne van anyagköltséget és </w:t>
      </w:r>
      <w:proofErr w:type="spellStart"/>
      <w:r w:rsidR="00130652"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 fizetik meg. </w:t>
      </w:r>
      <w:r w:rsidR="00014884">
        <w:rPr>
          <w:rFonts w:ascii="Times New Roman" w:eastAsia="Times New Roman" w:hAnsi="Times New Roman" w:cs="Times New Roman"/>
          <w:color w:val="auto"/>
          <w:lang w:val="hu-HU"/>
        </w:rPr>
        <w:t xml:space="preserve">Ezt nem számoljuk az intézmény bevételekhez a tavalyi évi bevételekkel szemben, mert a kincstárral történt egyeztetés után ez Átadott pénzeszközként kell megjeleníteni. Ez az összeg nettó 16.642 </w:t>
      </w:r>
      <w:proofErr w:type="spellStart"/>
      <w:r w:rsidR="00014884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014884">
        <w:rPr>
          <w:rFonts w:ascii="Times New Roman" w:eastAsia="Times New Roman" w:hAnsi="Times New Roman" w:cs="Times New Roman"/>
          <w:color w:val="auto"/>
          <w:lang w:val="hu-HU"/>
        </w:rPr>
        <w:t xml:space="preserve">. A számlázás már 2013. évben is így történt, mely okból teljesen szabályosan az önkormányzat több mint 4 millió forint Áfa-t </w:t>
      </w:r>
      <w:r w:rsidR="00EE3987">
        <w:rPr>
          <w:rFonts w:ascii="Times New Roman" w:eastAsia="Times New Roman" w:hAnsi="Times New Roman" w:cs="Times New Roman"/>
          <w:color w:val="auto"/>
          <w:lang w:val="hu-HU"/>
        </w:rPr>
        <w:t>spórol</w:t>
      </w:r>
      <w:r w:rsidR="00014884">
        <w:rPr>
          <w:rFonts w:ascii="Times New Roman" w:eastAsia="Times New Roman" w:hAnsi="Times New Roman" w:cs="Times New Roman"/>
          <w:color w:val="auto"/>
          <w:lang w:val="hu-HU"/>
        </w:rPr>
        <w:t xml:space="preserve"> meg.</w:t>
      </w:r>
    </w:p>
    <w:p w:rsidR="00094C07" w:rsidRPr="008E026B" w:rsidRDefault="00094C07" w:rsidP="008E026B">
      <w:pPr>
        <w:jc w:val="both"/>
        <w:rPr>
          <w:rFonts w:ascii="Times New Roman" w:hAnsi="Times New Roman" w:cs="Times New Roman"/>
        </w:rPr>
      </w:pPr>
    </w:p>
    <w:p w:rsidR="005323A9" w:rsidRDefault="005323A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ADC" w:rsidRPr="008E026B" w:rsidRDefault="00707BC6" w:rsidP="008C43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Ezer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6"/>
        <w:gridCol w:w="5716"/>
        <w:gridCol w:w="1268"/>
        <w:gridCol w:w="1096"/>
      </w:tblGrid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sor.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ADC">
              <w:rPr>
                <w:rFonts w:ascii="Times New Roman" w:hAnsi="Times New Roman" w:cs="Times New Roman"/>
                <w:b/>
                <w:bCs/>
              </w:rPr>
              <w:t>Konyha bevételek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E87E45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Nettó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ÁFA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7ADC">
              <w:rPr>
                <w:rFonts w:ascii="Times New Roman" w:hAnsi="Times New Roman" w:cs="Times New Roman"/>
                <w:b/>
                <w:bCs/>
                <w:u w:val="single"/>
              </w:rPr>
              <w:t xml:space="preserve">Óvodáskorú </w:t>
            </w:r>
            <w:proofErr w:type="gramStart"/>
            <w:r w:rsidRPr="00417ADC">
              <w:rPr>
                <w:rFonts w:ascii="Times New Roman" w:hAnsi="Times New Roman" w:cs="Times New Roman"/>
                <w:b/>
                <w:bCs/>
                <w:u w:val="single"/>
              </w:rPr>
              <w:t>gyermek étkeztetés</w:t>
            </w:r>
            <w:proofErr w:type="gramEnd"/>
            <w:r w:rsidRPr="00417AD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háromszori étkezés (3</w:t>
            </w:r>
            <w:r w:rsidR="00EE3987">
              <w:rPr>
                <w:rFonts w:ascii="Times New Roman" w:hAnsi="Times New Roman" w:cs="Times New Roman"/>
              </w:rPr>
              <w:t>6</w:t>
            </w:r>
            <w:r w:rsidRPr="00417ADC">
              <w:rPr>
                <w:rFonts w:ascii="Times New Roman" w:hAnsi="Times New Roman" w:cs="Times New Roman"/>
              </w:rPr>
              <w:t xml:space="preserve"> fő x 220 nap x 270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 xml:space="preserve">2 </w:t>
            </w:r>
            <w:r w:rsidR="00EE398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EE3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kétszeri étkezés (3</w:t>
            </w:r>
            <w:r w:rsidR="00EE3987">
              <w:rPr>
                <w:rFonts w:ascii="Times New Roman" w:hAnsi="Times New Roman" w:cs="Times New Roman"/>
              </w:rPr>
              <w:t>8</w:t>
            </w:r>
            <w:r w:rsidRPr="00417ADC">
              <w:rPr>
                <w:rFonts w:ascii="Times New Roman" w:hAnsi="Times New Roman" w:cs="Times New Roman"/>
              </w:rPr>
              <w:t xml:space="preserve"> fő x 220 nap x 230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 xml:space="preserve">1 </w:t>
            </w:r>
            <w:r w:rsidR="00EE3987">
              <w:rPr>
                <w:rFonts w:ascii="Times New Roman" w:hAnsi="Times New Roman" w:cs="Times New Roman"/>
              </w:rPr>
              <w:t>9</w:t>
            </w:r>
            <w:r w:rsidRPr="00417ADC">
              <w:rPr>
                <w:rFonts w:ascii="Times New Roman" w:hAnsi="Times New Roman" w:cs="Times New Roman"/>
              </w:rPr>
              <w:t>2</w:t>
            </w:r>
            <w:r w:rsidR="00EE3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EE3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7ADC">
              <w:rPr>
                <w:rFonts w:ascii="Times New Roman" w:hAnsi="Times New Roman" w:cs="Times New Roman"/>
                <w:b/>
                <w:bCs/>
                <w:u w:val="single"/>
              </w:rPr>
              <w:t>Napközis gyermekek étkeztetés: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ADC">
              <w:rPr>
                <w:rFonts w:ascii="Times New Roman" w:hAnsi="Times New Roman" w:cs="Times New Roman"/>
                <w:b/>
                <w:bCs/>
              </w:rPr>
              <w:t>háromszori étkezés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alsós: (4</w:t>
            </w:r>
            <w:r w:rsidR="00EE3987">
              <w:rPr>
                <w:rFonts w:ascii="Times New Roman" w:hAnsi="Times New Roman" w:cs="Times New Roman"/>
              </w:rPr>
              <w:t>5</w:t>
            </w:r>
            <w:r w:rsidRPr="00417ADC">
              <w:rPr>
                <w:rFonts w:ascii="Times New Roman" w:hAnsi="Times New Roman" w:cs="Times New Roman"/>
              </w:rPr>
              <w:t xml:space="preserve"> fő x 185 nap x 360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 xml:space="preserve">2 </w:t>
            </w:r>
            <w:r w:rsidR="00EE3987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EE3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felsős: (</w:t>
            </w:r>
            <w:r w:rsidR="00EE3987">
              <w:rPr>
                <w:rFonts w:ascii="Times New Roman" w:hAnsi="Times New Roman" w:cs="Times New Roman"/>
              </w:rPr>
              <w:t>8</w:t>
            </w:r>
            <w:r w:rsidRPr="00417ADC">
              <w:rPr>
                <w:rFonts w:ascii="Times New Roman" w:hAnsi="Times New Roman" w:cs="Times New Roman"/>
              </w:rPr>
              <w:t xml:space="preserve"> fő x 185 nap x 375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ADC">
              <w:rPr>
                <w:rFonts w:ascii="Times New Roman" w:hAnsi="Times New Roman" w:cs="Times New Roman"/>
                <w:b/>
                <w:bCs/>
              </w:rPr>
              <w:t>kétszeri étkezés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alsós: (3</w:t>
            </w:r>
            <w:r w:rsidR="00EE3987">
              <w:rPr>
                <w:rFonts w:ascii="Times New Roman" w:hAnsi="Times New Roman" w:cs="Times New Roman"/>
              </w:rPr>
              <w:t>5</w:t>
            </w:r>
            <w:r w:rsidRPr="00417ADC">
              <w:rPr>
                <w:rFonts w:ascii="Times New Roman" w:hAnsi="Times New Roman" w:cs="Times New Roman"/>
              </w:rPr>
              <w:t xml:space="preserve"> fő x 185 nap x 310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 xml:space="preserve">2 </w:t>
            </w:r>
            <w:r w:rsidR="00EE398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5</w:t>
            </w:r>
            <w:r w:rsidR="00EE3987">
              <w:rPr>
                <w:rFonts w:ascii="Times New Roman" w:hAnsi="Times New Roman" w:cs="Times New Roman"/>
              </w:rPr>
              <w:t>42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felsős: (4</w:t>
            </w:r>
            <w:r w:rsidR="00EE3987">
              <w:rPr>
                <w:rFonts w:ascii="Times New Roman" w:hAnsi="Times New Roman" w:cs="Times New Roman"/>
              </w:rPr>
              <w:t>2</w:t>
            </w:r>
            <w:r w:rsidRPr="00417ADC">
              <w:rPr>
                <w:rFonts w:ascii="Times New Roman" w:hAnsi="Times New Roman" w:cs="Times New Roman"/>
              </w:rPr>
              <w:t xml:space="preserve"> fő x 185 nap x 325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2 525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EE3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ADC">
              <w:rPr>
                <w:rFonts w:ascii="Times New Roman" w:hAnsi="Times New Roman" w:cs="Times New Roman"/>
                <w:b/>
                <w:bCs/>
              </w:rPr>
              <w:t xml:space="preserve">egyszeri étkezés 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alsós: (</w:t>
            </w:r>
            <w:r w:rsidR="00EE3987">
              <w:rPr>
                <w:rFonts w:ascii="Times New Roman" w:hAnsi="Times New Roman" w:cs="Times New Roman"/>
              </w:rPr>
              <w:t>4</w:t>
            </w:r>
            <w:r w:rsidRPr="00417ADC">
              <w:rPr>
                <w:rFonts w:ascii="Times New Roman" w:hAnsi="Times New Roman" w:cs="Times New Roman"/>
              </w:rPr>
              <w:t xml:space="preserve"> fő x 185 nap x 240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17ADC" w:rsidRPr="00417ADC" w:rsidTr="00417ADC">
        <w:trPr>
          <w:trHeight w:val="300"/>
        </w:trPr>
        <w:tc>
          <w:tcPr>
            <w:tcW w:w="676" w:type="dxa"/>
            <w:noWrap/>
            <w:hideMark/>
          </w:tcPr>
          <w:p w:rsidR="00417ADC" w:rsidRPr="00417ADC" w:rsidRDefault="00417ADC" w:rsidP="00417ADC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6" w:type="dxa"/>
            <w:noWrap/>
            <w:hideMark/>
          </w:tcPr>
          <w:p w:rsidR="00417ADC" w:rsidRPr="00417ADC" w:rsidRDefault="00417ADC" w:rsidP="00EE3987">
            <w:pPr>
              <w:jc w:val="both"/>
              <w:rPr>
                <w:rFonts w:ascii="Times New Roman" w:hAnsi="Times New Roman" w:cs="Times New Roman"/>
              </w:rPr>
            </w:pPr>
            <w:r w:rsidRPr="00417ADC">
              <w:rPr>
                <w:rFonts w:ascii="Times New Roman" w:hAnsi="Times New Roman" w:cs="Times New Roman"/>
              </w:rPr>
              <w:t>felsős: (</w:t>
            </w:r>
            <w:r w:rsidR="00EE3987">
              <w:rPr>
                <w:rFonts w:ascii="Times New Roman" w:hAnsi="Times New Roman" w:cs="Times New Roman"/>
              </w:rPr>
              <w:t>4</w:t>
            </w:r>
            <w:r w:rsidRPr="00417ADC">
              <w:rPr>
                <w:rFonts w:ascii="Times New Roman" w:hAnsi="Times New Roman" w:cs="Times New Roman"/>
              </w:rPr>
              <w:t xml:space="preserve"> fő x 185 nap x 255 Ft.)</w:t>
            </w:r>
          </w:p>
        </w:tc>
        <w:tc>
          <w:tcPr>
            <w:tcW w:w="1268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96" w:type="dxa"/>
            <w:noWrap/>
            <w:hideMark/>
          </w:tcPr>
          <w:p w:rsidR="00417ADC" w:rsidRPr="00417ADC" w:rsidRDefault="00EE3987" w:rsidP="00417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8E026B" w:rsidRPr="008E026B" w:rsidRDefault="008E026B" w:rsidP="008E026B">
      <w:pPr>
        <w:jc w:val="both"/>
        <w:rPr>
          <w:rFonts w:ascii="Times New Roman" w:hAnsi="Times New Roman" w:cs="Times New Roman"/>
        </w:rPr>
      </w:pPr>
    </w:p>
    <w:p w:rsidR="00130652" w:rsidRDefault="0065037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Ezen gyerekek esetében az anyagköltséget a szülők fizetik, a rezsi költséget pedig az önkormányzat. A rezsi költségre az állam ebben, ez esetben semmilyen egyéb támogatást nem ad. </w:t>
      </w:r>
      <w:r w:rsidR="00EE3987">
        <w:rPr>
          <w:rFonts w:ascii="Times New Roman" w:eastAsia="Times New Roman" w:hAnsi="Times New Roman" w:cs="Times New Roman"/>
          <w:color w:val="auto"/>
          <w:lang w:val="hu-HU"/>
        </w:rPr>
        <w:t xml:space="preserve">(Vagy legalábbis eddig még nem tudunk róla.) Újra leírva a tavalyi évi betervezett </w:t>
      </w:r>
      <w:r>
        <w:rPr>
          <w:rFonts w:ascii="Times New Roman" w:eastAsia="Times New Roman" w:hAnsi="Times New Roman" w:cs="Times New Roman"/>
          <w:color w:val="auto"/>
          <w:lang w:val="hu-HU"/>
        </w:rPr>
        <w:t>rezsi költség</w:t>
      </w:r>
      <w:r w:rsidR="00EE3987">
        <w:rPr>
          <w:rFonts w:ascii="Times New Roman" w:eastAsia="Times New Roman" w:hAnsi="Times New Roman" w:cs="Times New Roman"/>
          <w:color w:val="auto"/>
          <w:lang w:val="hu-HU"/>
        </w:rPr>
        <w:t xml:space="preserve"> bevétel helyet az idei évben intézményi finanszírozásként kapja meg ezt az összeget a konyha. Az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>önkormányzat</w:t>
      </w:r>
      <w:r w:rsidR="00EE3987">
        <w:rPr>
          <w:rFonts w:ascii="Times New Roman" w:eastAsia="Times New Roman" w:hAnsi="Times New Roman" w:cs="Times New Roman"/>
          <w:color w:val="auto"/>
          <w:lang w:val="hu-HU"/>
        </w:rPr>
        <w:t xml:space="preserve">nál természetesen ez is kiadásként jelenik meg ugyan úgy, mint ha számlázás történne. </w:t>
      </w:r>
    </w:p>
    <w:p w:rsidR="00130652" w:rsidRDefault="001B3595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szociális étkezéshez az állam valamilyen mértékben hozzájárul, a különbözetett itt viszont ez igénybe vevő (a szociálisan rászorult) fizeti meg.</w:t>
      </w:r>
    </w:p>
    <w:p w:rsidR="00542D5A" w:rsidRDefault="00542D5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50%-os és 100%-os megtérítésben részesülők </w:t>
      </w:r>
      <w:r w:rsidR="00F23F63">
        <w:rPr>
          <w:rFonts w:ascii="Times New Roman" w:eastAsia="Times New Roman" w:hAnsi="Times New Roman" w:cs="Times New Roman"/>
          <w:color w:val="auto"/>
          <w:lang w:val="hu-HU"/>
        </w:rPr>
        <w:t xml:space="preserve">esetében az állam </w:t>
      </w:r>
      <w:r w:rsidR="00612AB4">
        <w:rPr>
          <w:rFonts w:ascii="Times New Roman" w:eastAsia="Times New Roman" w:hAnsi="Times New Roman" w:cs="Times New Roman"/>
          <w:color w:val="auto"/>
          <w:lang w:val="hu-HU"/>
        </w:rPr>
        <w:t xml:space="preserve">a tavalyi évben </w:t>
      </w:r>
      <w:r w:rsidR="00F23F63">
        <w:rPr>
          <w:rFonts w:ascii="Times New Roman" w:eastAsia="Times New Roman" w:hAnsi="Times New Roman" w:cs="Times New Roman"/>
          <w:color w:val="auto"/>
          <w:lang w:val="hu-HU"/>
        </w:rPr>
        <w:t xml:space="preserve">egy konkrét </w:t>
      </w:r>
      <w:r w:rsidR="00981F80">
        <w:rPr>
          <w:rFonts w:ascii="Times New Roman" w:eastAsia="Times New Roman" w:hAnsi="Times New Roman" w:cs="Times New Roman"/>
          <w:color w:val="auto"/>
          <w:lang w:val="hu-HU"/>
        </w:rPr>
        <w:t>összeget határoz</w:t>
      </w:r>
      <w:r w:rsidR="00612AB4">
        <w:rPr>
          <w:rFonts w:ascii="Times New Roman" w:eastAsia="Times New Roman" w:hAnsi="Times New Roman" w:cs="Times New Roman"/>
          <w:color w:val="auto"/>
          <w:lang w:val="hu-HU"/>
        </w:rPr>
        <w:t xml:space="preserve">ott </w:t>
      </w:r>
      <w:r w:rsidR="00981F80">
        <w:rPr>
          <w:rFonts w:ascii="Times New Roman" w:eastAsia="Times New Roman" w:hAnsi="Times New Roman" w:cs="Times New Roman"/>
          <w:color w:val="auto"/>
          <w:lang w:val="hu-HU"/>
        </w:rPr>
        <w:t>meg gyerekenként. Ebben az esetben a megadott összegből kell kihozni a gyerekétkeztetést és itt nem kell figyelembe venni, külön-külön, hogy anyag költségről vagy rezsi költségről van-e szó.</w:t>
      </w:r>
      <w:r w:rsidR="00612AB4">
        <w:rPr>
          <w:rFonts w:ascii="Times New Roman" w:eastAsia="Times New Roman" w:hAnsi="Times New Roman" w:cs="Times New Roman"/>
          <w:color w:val="auto"/>
          <w:lang w:val="hu-HU"/>
        </w:rPr>
        <w:t xml:space="preserve"> Jelenleg még 2014. évben ilyen normatíva nem ismert.</w:t>
      </w:r>
    </w:p>
    <w:p w:rsidR="00130652" w:rsidRDefault="00BD736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Önkormányzati Konyha és </w:t>
      </w:r>
      <w:proofErr w:type="gramStart"/>
      <w:r w:rsidRPr="00BD7367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>t a 6./B. számú melléklet tartalmazza.</w:t>
      </w:r>
    </w:p>
    <w:p w:rsidR="00400EBC" w:rsidRDefault="00400EBC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tényleges önkormányzati támogatást a 10. számú melléklet 6. oszlopa tartalmazza. Ez az összeg 10.485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..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Ezek alapján az Konyha részére ténylegesen átadott pénzeszköz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összesen  az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önkormányzati támogatásból áll (10.485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.) és az Állami hozzájárulásból (13.110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.).</w:t>
      </w:r>
    </w:p>
    <w:p w:rsidR="00400EBC" w:rsidRDefault="00400EBC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D7367" w:rsidRDefault="00BD7367" w:rsidP="00BD7367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második 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K</w:t>
      </w:r>
      <w:r>
        <w:rPr>
          <w:rFonts w:ascii="Times New Roman" w:eastAsia="Times New Roman" w:hAnsi="Times New Roman" w:cs="Times New Roman"/>
          <w:color w:val="auto"/>
          <w:lang w:val="hu-HU"/>
        </w:rPr>
        <w:t>önyvtár és művelődési ház bevételei elsősorban t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>agdíj, bérleti díj,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internet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használat és a rendezvények bevételeiből tevődik össze. Az intézmény összbevétel 508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ÁFA-val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7B162C" w:rsidRDefault="00BD736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 xml:space="preserve">harmadik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Gondozási központ. B</w:t>
      </w:r>
      <w:r>
        <w:rPr>
          <w:rFonts w:ascii="Times New Roman" w:eastAsia="Times New Roman" w:hAnsi="Times New Roman" w:cs="Times New Roman"/>
          <w:color w:val="auto"/>
          <w:lang w:val="hu-HU"/>
        </w:rPr>
        <w:t>evételei</w:t>
      </w:r>
      <w:r w:rsidR="00FB1238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FB1238" w:rsidRDefault="00FB1238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3C5665" w:rsidRDefault="00FB1238" w:rsidP="003C5665">
      <w:pPr>
        <w:jc w:val="right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</w:rPr>
        <w:t>Ezer forintban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6"/>
        <w:gridCol w:w="5716"/>
        <w:gridCol w:w="1256"/>
        <w:gridCol w:w="1096"/>
      </w:tblGrid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sor.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Gondozási Központ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E87E4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Nettó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792CE2">
              <w:rPr>
                <w:rFonts w:ascii="Times New Roman" w:eastAsia="Times New Roman" w:hAnsi="Times New Roman" w:cs="Times New Roman"/>
                <w:color w:val="auto"/>
              </w:rPr>
              <w:t>ÁFA</w:t>
            </w:r>
          </w:p>
        </w:tc>
      </w:tr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 xml:space="preserve">Szociális étkezés (90 </w:t>
            </w:r>
            <w:proofErr w:type="spellStart"/>
            <w:r w:rsidRPr="003C5665">
              <w:rPr>
                <w:rFonts w:ascii="Times New Roman" w:eastAsia="Times New Roman" w:hAnsi="Times New Roman" w:cs="Times New Roman"/>
                <w:color w:val="auto"/>
              </w:rPr>
              <w:t>főx</w:t>
            </w:r>
            <w:proofErr w:type="spellEnd"/>
            <w:r w:rsidRPr="003C5665">
              <w:rPr>
                <w:rFonts w:ascii="Times New Roman" w:eastAsia="Times New Roman" w:hAnsi="Times New Roman" w:cs="Times New Roman"/>
                <w:color w:val="auto"/>
              </w:rPr>
              <w:t xml:space="preserve"> 252 nap x (490 Ft. - ÁFA))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8 754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2 364</w:t>
            </w:r>
          </w:p>
        </w:tc>
      </w:tr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Gondozási Központ (25 fő x 365 nap x (900 Ft. - ÁFA))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6 470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1 747</w:t>
            </w:r>
          </w:p>
        </w:tc>
      </w:tr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Gondozási díj (25 fő)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10 000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2 700</w:t>
            </w:r>
          </w:p>
        </w:tc>
      </w:tr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Mosodai szolgáltatási bevételek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700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189</w:t>
            </w:r>
          </w:p>
        </w:tc>
      </w:tr>
      <w:tr w:rsidR="003C5665" w:rsidRPr="003C5665" w:rsidTr="003C5665">
        <w:trPr>
          <w:trHeight w:val="300"/>
        </w:trPr>
        <w:tc>
          <w:tcPr>
            <w:tcW w:w="67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71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Kiszámlázott termékek és szolgáltatások Áfája</w:t>
            </w:r>
          </w:p>
        </w:tc>
        <w:tc>
          <w:tcPr>
            <w:tcW w:w="125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7 000</w:t>
            </w:r>
          </w:p>
        </w:tc>
        <w:tc>
          <w:tcPr>
            <w:tcW w:w="1096" w:type="dxa"/>
            <w:noWrap/>
            <w:hideMark/>
          </w:tcPr>
          <w:p w:rsidR="003C5665" w:rsidRPr="003C5665" w:rsidRDefault="003C5665" w:rsidP="003C566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566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7B162C" w:rsidRDefault="008935F2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Az intézmény összes bevétele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ÁFA-val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3</w:t>
      </w:r>
      <w:r w:rsidR="00A53840">
        <w:rPr>
          <w:rFonts w:ascii="Times New Roman" w:eastAsia="Times New Roman" w:hAnsi="Times New Roman" w:cs="Times New Roman"/>
          <w:color w:val="auto"/>
          <w:lang w:val="hu-HU"/>
        </w:rPr>
        <w:t>2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.924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A Szociális étkezés és a gondozási központ 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étkezési bevételek összege megtalálhatók </w:t>
      </w:r>
      <w:proofErr w:type="gramStart"/>
      <w:r w:rsidR="002A01E3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A01E3" w:rsidRPr="00BD7367">
        <w:rPr>
          <w:rFonts w:ascii="Times New Roman" w:eastAsia="Times New Roman" w:hAnsi="Times New Roman" w:cs="Times New Roman"/>
          <w:color w:val="auto"/>
          <w:lang w:val="hu-HU"/>
        </w:rPr>
        <w:t>Önkormányzati Konyha és Étterem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intézmény bevételeinél is. Ez ugyan is egy tovább értékesített szolgáltatásvásárlás. Mely kiadásként is szerepel a Gondozási Központ intézménynél a 6./C. számú melléklet dologi kiadások 1. sorában</w:t>
      </w:r>
      <w:r w:rsidR="00400EBC">
        <w:rPr>
          <w:rFonts w:ascii="Times New Roman" w:eastAsia="Times New Roman" w:hAnsi="Times New Roman" w:cs="Times New Roman"/>
          <w:color w:val="auto"/>
          <w:lang w:val="hu-HU"/>
        </w:rPr>
        <w:t xml:space="preserve"> (Élelmiszer beszerzés)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F56BDB">
        <w:rPr>
          <w:rFonts w:ascii="Times New Roman" w:eastAsia="Times New Roman" w:hAnsi="Times New Roman" w:cs="Times New Roman"/>
          <w:color w:val="auto"/>
          <w:lang w:val="hu-HU"/>
        </w:rPr>
        <w:t>Ebben az esetben nem végfelhasználó az önkormányzat az étkezés szempontjából, vagyis az étkezőkre tovább hárítja az ÁFA fizetési kötelezettséget.</w:t>
      </w:r>
    </w:p>
    <w:p w:rsidR="00072BAB" w:rsidRDefault="00072BAB" w:rsidP="00072BA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negyedik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intézmény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ként a polgármesteri hivatal van feltüntetve, melynek a bevételei nehezen különíthetők el a helyi önkormányzat bevételeitől</w:t>
      </w:r>
      <w:r w:rsidR="00D77124">
        <w:rPr>
          <w:rFonts w:ascii="Times New Roman" w:eastAsia="Times New Roman" w:hAnsi="Times New Roman" w:cs="Times New Roman"/>
          <w:color w:val="auto"/>
          <w:lang w:val="hu-HU"/>
        </w:rPr>
        <w:t>. Ezek a bevételek általában valamilyen közigazgatási, hatósági feladathoz kapcsolódnak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7B162C" w:rsidRDefault="007D1D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ötödik intézmény pedig maga a helyi önkormányzat.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Idekerül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minden olyan feladat mely nem jelenik meg a többi intézménynél. Itt főleg az önkormányzat vagyongazdálkodásából származó bevételek illetve tovább számlázott költségek jelennek meg.</w:t>
      </w:r>
      <w:r w:rsidR="00DC7E7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Az összbevételek </w:t>
      </w:r>
      <w:r w:rsidR="00400EBC">
        <w:rPr>
          <w:rFonts w:ascii="Times New Roman" w:eastAsia="Times New Roman" w:hAnsi="Times New Roman" w:cs="Times New Roman"/>
          <w:color w:val="auto"/>
          <w:lang w:val="hu-HU"/>
        </w:rPr>
        <w:t>18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00EBC">
        <w:rPr>
          <w:rFonts w:ascii="Times New Roman" w:eastAsia="Times New Roman" w:hAnsi="Times New Roman" w:cs="Times New Roman"/>
          <w:color w:val="auto"/>
          <w:lang w:val="hu-HU"/>
        </w:rPr>
        <w:t>885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487858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400EBC" w:rsidRDefault="00400EBC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bevétel csökkenés az e</w:t>
      </w:r>
      <w:r w:rsidRPr="00400EBC">
        <w:rPr>
          <w:rFonts w:ascii="Times New Roman" w:eastAsia="Times New Roman" w:hAnsi="Times New Roman" w:cs="Times New Roman"/>
          <w:color w:val="auto"/>
          <w:lang w:val="hu-HU"/>
        </w:rPr>
        <w:t>szközérték</w:t>
      </w:r>
      <w:r>
        <w:rPr>
          <w:rFonts w:ascii="Times New Roman" w:eastAsia="Times New Roman" w:hAnsi="Times New Roman" w:cs="Times New Roman"/>
          <w:color w:val="auto"/>
          <w:lang w:val="hu-HU"/>
        </w:rPr>
        <w:t>esítés (m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á</w:t>
      </w:r>
      <w:r>
        <w:rPr>
          <w:rFonts w:ascii="Times New Roman" w:eastAsia="Times New Roman" w:hAnsi="Times New Roman" w:cs="Times New Roman"/>
          <w:color w:val="auto"/>
          <w:lang w:val="hu-HU"/>
        </w:rPr>
        <w:t>r tavalyi évben értékesítettük őket) illetve a Vízdíjhátralékok esetében jelentős (Ezek nagy része is mát behajtásra került).</w:t>
      </w:r>
    </w:p>
    <w:p w:rsidR="0041466A" w:rsidRDefault="0041466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87858" w:rsidRDefault="00DC2E13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legnagyobb bevétel itt a helyi önkormányzatnál az ÖKÓVIZ részére bérbe adott </w:t>
      </w:r>
      <w:r w:rsidR="00FE6FDE">
        <w:rPr>
          <w:rFonts w:ascii="Times New Roman" w:eastAsia="Times New Roman" w:hAnsi="Times New Roman" w:cs="Times New Roman"/>
          <w:color w:val="auto"/>
          <w:lang w:val="hu-HU"/>
        </w:rPr>
        <w:t>vízi közmű jelent</w:t>
      </w:r>
      <w:r w:rsidR="00FC2E15">
        <w:rPr>
          <w:rFonts w:ascii="Times New Roman" w:eastAsia="Times New Roman" w:hAnsi="Times New Roman" w:cs="Times New Roman"/>
          <w:color w:val="auto"/>
          <w:lang w:val="hu-HU"/>
        </w:rPr>
        <w:t xml:space="preserve">ette volna, de ezen összeg bizonytalanság miatt </w:t>
      </w:r>
      <w:r w:rsidR="0041466A">
        <w:rPr>
          <w:rFonts w:ascii="Times New Roman" w:eastAsia="Times New Roman" w:hAnsi="Times New Roman" w:cs="Times New Roman"/>
          <w:color w:val="auto"/>
          <w:lang w:val="hu-HU"/>
        </w:rPr>
        <w:t xml:space="preserve">már tavalyi évben sem került </w:t>
      </w:r>
      <w:r w:rsidR="00FC2E15">
        <w:rPr>
          <w:rFonts w:ascii="Times New Roman" w:eastAsia="Times New Roman" w:hAnsi="Times New Roman" w:cs="Times New Roman"/>
          <w:color w:val="auto"/>
          <w:lang w:val="hu-HU"/>
        </w:rPr>
        <w:t>a pénzügyi bizottság kérésére beépítésre a költségvetésbe</w:t>
      </w:r>
      <w:r w:rsidR="00FE6FD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BB5A09">
        <w:rPr>
          <w:rFonts w:ascii="Times New Roman" w:eastAsia="Times New Roman" w:hAnsi="Times New Roman" w:cs="Times New Roman"/>
          <w:color w:val="auto"/>
          <w:lang w:val="hu-HU"/>
        </w:rPr>
        <w:t>A bérleti szerződés szerint ez megegyezik az amortizáció összegével</w:t>
      </w:r>
      <w:r w:rsidR="00300BFA">
        <w:rPr>
          <w:rFonts w:ascii="Times New Roman" w:eastAsia="Times New Roman" w:hAnsi="Times New Roman" w:cs="Times New Roman"/>
          <w:color w:val="auto"/>
          <w:lang w:val="hu-HU"/>
        </w:rPr>
        <w:t>. A bé</w:t>
      </w:r>
      <w:r w:rsidR="00205B4C">
        <w:rPr>
          <w:rFonts w:ascii="Times New Roman" w:eastAsia="Times New Roman" w:hAnsi="Times New Roman" w:cs="Times New Roman"/>
          <w:color w:val="auto"/>
          <w:lang w:val="hu-HU"/>
        </w:rPr>
        <w:t>r</w:t>
      </w:r>
      <w:r w:rsidR="00300BFA">
        <w:rPr>
          <w:rFonts w:ascii="Times New Roman" w:eastAsia="Times New Roman" w:hAnsi="Times New Roman" w:cs="Times New Roman"/>
          <w:color w:val="auto"/>
          <w:lang w:val="hu-HU"/>
        </w:rPr>
        <w:t>le</w:t>
      </w:r>
      <w:r w:rsidR="00205B4C"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="00300BFA">
        <w:rPr>
          <w:rFonts w:ascii="Times New Roman" w:eastAsia="Times New Roman" w:hAnsi="Times New Roman" w:cs="Times New Roman"/>
          <w:color w:val="auto"/>
          <w:lang w:val="hu-HU"/>
        </w:rPr>
        <w:t>i szerződés 5. oldal 3 bekezdés „</w:t>
      </w:r>
      <w:proofErr w:type="gramStart"/>
      <w:r w:rsidR="00A91C2E">
        <w:rPr>
          <w:rFonts w:ascii="Times New Roman" w:eastAsia="Times New Roman" w:hAnsi="Times New Roman" w:cs="Times New Roman"/>
          <w:color w:val="auto"/>
          <w:lang w:val="hu-HU"/>
        </w:rPr>
        <w:t>…közösen</w:t>
      </w:r>
      <w:proofErr w:type="gramEnd"/>
      <w:r w:rsidR="00A91C2E">
        <w:rPr>
          <w:rFonts w:ascii="Times New Roman" w:eastAsia="Times New Roman" w:hAnsi="Times New Roman" w:cs="Times New Roman"/>
          <w:color w:val="auto"/>
          <w:lang w:val="hu-HU"/>
        </w:rPr>
        <w:t xml:space="preserve"> állapítják meg a 2013-től alkalmazandó bérleti díjat, melynek nagyságrendi mértéke a közösen kalkulált amortizációs költség mértéke lesz.</w:t>
      </w:r>
      <w:r w:rsidR="00300BFA">
        <w:rPr>
          <w:rFonts w:ascii="Times New Roman" w:eastAsia="Times New Roman" w:hAnsi="Times New Roman" w:cs="Times New Roman"/>
          <w:color w:val="auto"/>
          <w:lang w:val="hu-HU"/>
        </w:rPr>
        <w:t xml:space="preserve">” Az összeg, azért kevesebb, mert az előjelzések alapján ez az összeg nem biztos, hogy teljes mértékben befolyik az önkormányzat szálájára, hisz az </w:t>
      </w:r>
      <w:proofErr w:type="spellStart"/>
      <w:r w:rsidR="00300BFA">
        <w:rPr>
          <w:rFonts w:ascii="Times New Roman" w:eastAsia="Times New Roman" w:hAnsi="Times New Roman" w:cs="Times New Roman"/>
          <w:color w:val="auto"/>
          <w:lang w:val="hu-HU"/>
        </w:rPr>
        <w:t>ÖKÓVÍZ-nek</w:t>
      </w:r>
      <w:proofErr w:type="spellEnd"/>
      <w:r w:rsidR="00300BFA">
        <w:rPr>
          <w:rFonts w:ascii="Times New Roman" w:eastAsia="Times New Roman" w:hAnsi="Times New Roman" w:cs="Times New Roman"/>
          <w:color w:val="auto"/>
          <w:lang w:val="hu-HU"/>
        </w:rPr>
        <w:t xml:space="preserve"> jelenleg még csak </w:t>
      </w:r>
      <w:r w:rsidR="00300BFA" w:rsidRPr="002E2AEF">
        <w:rPr>
          <w:rFonts w:ascii="Times New Roman" w:eastAsia="Times New Roman" w:hAnsi="Times New Roman" w:cs="Times New Roman"/>
          <w:color w:val="auto"/>
          <w:lang w:val="hu-HU"/>
        </w:rPr>
        <w:t>költségei vannak.</w:t>
      </w:r>
      <w:r w:rsidR="0041466A">
        <w:rPr>
          <w:rFonts w:ascii="Times New Roman" w:eastAsia="Times New Roman" w:hAnsi="Times New Roman" w:cs="Times New Roman"/>
          <w:color w:val="auto"/>
          <w:lang w:val="hu-HU"/>
        </w:rPr>
        <w:t xml:space="preserve"> Az idei évben pedig a vízmű átadásra Kerül a Duna menti Vízmű társulás részére</w:t>
      </w:r>
    </w:p>
    <w:p w:rsidR="005323A9" w:rsidRPr="002E2AEF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B5A09" w:rsidRPr="002E2AEF" w:rsidRDefault="0041466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Jelenleg</w:t>
      </w:r>
      <w:r w:rsidR="006D7004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 forráshiányos a költségvetés, melynek elkerülése érdekében 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(A </w:t>
      </w:r>
      <w:proofErr w:type="spellStart"/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>Mötv</w:t>
      </w:r>
      <w:proofErr w:type="spellEnd"/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. 111. § (4) bekezdése alapján </w:t>
      </w:r>
      <w:r w:rsidR="004142D6" w:rsidRPr="002E2AEF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proofErr w:type="gramStart"/>
      <w:r w:rsidR="004142D6" w:rsidRPr="002E2AEF">
        <w:rPr>
          <w:rFonts w:ascii="Times New Roman" w:eastAsia="Times New Roman" w:hAnsi="Times New Roman" w:cs="Times New Roman"/>
          <w:i/>
          <w:color w:val="auto"/>
          <w:lang w:val="hu-HU"/>
        </w:rPr>
        <w:t>A</w:t>
      </w:r>
      <w:proofErr w:type="gramEnd"/>
      <w:r w:rsidR="004142D6" w:rsidRPr="002E2AEF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költségvetési rendeletben működési hiány nem tervezhető”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  <w:r w:rsidR="006D7004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a várható támogatások közzé kell </w:t>
      </w:r>
      <w:r w:rsidR="00346AAA">
        <w:rPr>
          <w:rFonts w:ascii="Times New Roman" w:eastAsia="Times New Roman" w:hAnsi="Times New Roman" w:cs="Times New Roman"/>
          <w:color w:val="auto"/>
          <w:lang w:val="hu-HU"/>
        </w:rPr>
        <w:t>betervezni ugyanezt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346AAA">
        <w:rPr>
          <w:rFonts w:ascii="Times New Roman" w:eastAsia="Times New Roman" w:hAnsi="Times New Roman" w:cs="Times New Roman"/>
          <w:color w:val="auto"/>
          <w:lang w:val="hu-HU"/>
        </w:rPr>
        <w:t xml:space="preserve">az összeget, a 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>201</w:t>
      </w:r>
      <w:r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. évi költségvetési törvény </w:t>
      </w:r>
      <w:r w:rsidR="00706D5D" w:rsidRPr="002E2AEF">
        <w:rPr>
          <w:rFonts w:ascii="Times New Roman" w:eastAsia="Times New Roman" w:hAnsi="Times New Roman" w:cs="Times New Roman"/>
          <w:color w:val="auto"/>
          <w:lang w:val="hu-HU"/>
        </w:rPr>
        <w:t>4.</w:t>
      </w:r>
      <w:r w:rsidR="004142D6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 számú melléklet </w:t>
      </w:r>
      <w:r w:rsidR="00706D5D" w:rsidRPr="002E2AEF">
        <w:rPr>
          <w:rFonts w:ascii="Times New Roman" w:eastAsia="Times New Roman" w:hAnsi="Times New Roman" w:cs="Times New Roman"/>
          <w:color w:val="auto"/>
          <w:lang w:val="hu-HU"/>
        </w:rPr>
        <w:t>1./IV. –</w:t>
      </w:r>
      <w:proofErr w:type="spellStart"/>
      <w:r w:rsidR="00706D5D" w:rsidRPr="002E2AEF">
        <w:rPr>
          <w:rFonts w:ascii="Times New Roman" w:eastAsia="Times New Roman" w:hAnsi="Times New Roman" w:cs="Times New Roman"/>
          <w:color w:val="auto"/>
          <w:lang w:val="hu-HU"/>
        </w:rPr>
        <w:t>ben</w:t>
      </w:r>
      <w:proofErr w:type="spellEnd"/>
      <w:r w:rsidR="00706D5D"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 meghatározott helyi önkormányzatok működőképessége megőrzését szolgáló kiegészítő támogatásra</w:t>
      </w:r>
      <w:r w:rsidR="00346AAA">
        <w:rPr>
          <w:rFonts w:ascii="Times New Roman" w:eastAsia="Times New Roman" w:hAnsi="Times New Roman" w:cs="Times New Roman"/>
          <w:color w:val="auto"/>
          <w:lang w:val="hu-HU"/>
        </w:rPr>
        <w:t xml:space="preserve"> vonatkozóan</w:t>
      </w:r>
      <w:r w:rsidR="00706D5D" w:rsidRPr="002E2AEF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?????????????</w:t>
      </w:r>
    </w:p>
    <w:p w:rsidR="00CD7F27" w:rsidRPr="002E2AEF" w:rsidRDefault="00CD7F27" w:rsidP="00CD7F27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Erre engedélyt ad </w:t>
      </w:r>
      <w:proofErr w:type="spellStart"/>
      <w:r w:rsidRPr="002E2AEF">
        <w:rPr>
          <w:rFonts w:ascii="Times New Roman" w:eastAsia="Times New Roman" w:hAnsi="Times New Roman" w:cs="Times New Roman"/>
          <w:color w:val="auto"/>
          <w:lang w:val="hu-HU"/>
        </w:rPr>
        <w:t>Mötv</w:t>
      </w:r>
      <w:proofErr w:type="spellEnd"/>
      <w:r w:rsidRPr="002E2AEF">
        <w:rPr>
          <w:rFonts w:ascii="Times New Roman" w:eastAsia="Times New Roman" w:hAnsi="Times New Roman" w:cs="Times New Roman"/>
          <w:color w:val="auto"/>
          <w:lang w:val="hu-HU"/>
        </w:rPr>
        <w:t xml:space="preserve">. 118. § (2) </w:t>
      </w:r>
      <w:r w:rsidRPr="002E2AEF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„Kivételes </w:t>
      </w:r>
      <w:proofErr w:type="gramStart"/>
      <w:r w:rsidRPr="002E2AEF">
        <w:rPr>
          <w:rFonts w:ascii="Times New Roman" w:eastAsia="Times New Roman" w:hAnsi="Times New Roman" w:cs="Times New Roman"/>
          <w:i/>
          <w:color w:val="auto"/>
          <w:lang w:val="hu-HU"/>
        </w:rPr>
        <w:t>esetben jogszabályban</w:t>
      </w:r>
      <w:proofErr w:type="gramEnd"/>
      <w:r w:rsidRPr="002E2AEF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meghatározott módon a helyi önkormányzat működőképessége megőrzése érdekében kiegészítő támogatás adható.”</w:t>
      </w:r>
    </w:p>
    <w:p w:rsidR="00CD7F27" w:rsidRPr="002E2AEF" w:rsidRDefault="00CD7F2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CD7F27" w:rsidRPr="002E2AEF" w:rsidRDefault="00552933" w:rsidP="00706D5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intézményi összbevétel (2./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számú melléklet) így </w:t>
      </w:r>
      <w:r w:rsidR="0041466A">
        <w:rPr>
          <w:rFonts w:ascii="Times New Roman" w:eastAsia="Times New Roman" w:hAnsi="Times New Roman" w:cs="Times New Roman"/>
          <w:color w:val="auto"/>
          <w:lang w:val="hu-HU"/>
        </w:rPr>
        <w:t>94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24FC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41466A">
        <w:rPr>
          <w:rFonts w:ascii="Times New Roman" w:eastAsia="Times New Roman" w:hAnsi="Times New Roman" w:cs="Times New Roman"/>
          <w:color w:val="auto"/>
          <w:lang w:val="hu-HU"/>
        </w:rPr>
        <w:t>35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 Ez megegyezik az intézményenkénti bontásnál szerepelő (</w:t>
      </w:r>
      <w:r w:rsidRPr="00552933">
        <w:rPr>
          <w:rFonts w:ascii="Times New Roman" w:eastAsia="Times New Roman" w:hAnsi="Times New Roman" w:cs="Times New Roman"/>
          <w:color w:val="auto"/>
          <w:lang w:val="hu-HU"/>
        </w:rPr>
        <w:t>Önállóan működő és gazdálkodó, valamint önállóan működő intézmények bevételei 201</w:t>
      </w:r>
      <w:r w:rsidR="0041466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52933">
        <w:rPr>
          <w:rFonts w:ascii="Times New Roman" w:eastAsia="Times New Roman" w:hAnsi="Times New Roman" w:cs="Times New Roman"/>
          <w:color w:val="auto"/>
          <w:lang w:val="hu-HU"/>
        </w:rPr>
        <w:t xml:space="preserve"> évben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2. számú melléklet római I. sorával.). </w:t>
      </w:r>
      <w:r w:rsidR="00964D31">
        <w:rPr>
          <w:rFonts w:ascii="Times New Roman" w:eastAsia="Times New Roman" w:hAnsi="Times New Roman" w:cs="Times New Roman"/>
          <w:color w:val="auto"/>
          <w:lang w:val="hu-HU"/>
        </w:rPr>
        <w:t xml:space="preserve">Továbbá ugyanezen összeg szerepel az 1. számú melléklet intézményi </w:t>
      </w:r>
      <w:r w:rsidR="00964D31" w:rsidRPr="00CD5C86">
        <w:rPr>
          <w:rFonts w:ascii="Times New Roman" w:eastAsia="Times New Roman" w:hAnsi="Times New Roman" w:cs="Times New Roman"/>
          <w:color w:val="auto"/>
          <w:lang w:val="hu-HU"/>
        </w:rPr>
        <w:t>bevételi jogcímen</w:t>
      </w:r>
      <w:r w:rsidR="00964D31">
        <w:rPr>
          <w:rFonts w:ascii="Times New Roman" w:eastAsia="Times New Roman" w:hAnsi="Times New Roman" w:cs="Times New Roman"/>
          <w:color w:val="auto"/>
          <w:lang w:val="hu-HU"/>
        </w:rPr>
        <w:t xml:space="preserve">kénti bontásoknál. </w:t>
      </w:r>
    </w:p>
    <w:p w:rsidR="00CD7F27" w:rsidRPr="002E2AEF" w:rsidRDefault="00CD7F2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C1221" w:rsidRPr="00CD5C86" w:rsidRDefault="00FC1221" w:rsidP="00CD5C86">
      <w:pPr>
        <w:numPr>
          <w:ilvl w:val="0"/>
          <w:numId w:val="7"/>
        </w:numPr>
        <w:tabs>
          <w:tab w:val="num" w:pos="540"/>
          <w:tab w:val="left" w:pos="1560"/>
        </w:tabs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Bérleti díjként vettük figyelembe az ingatlanok bérbeadásából, szállásdíjból és eszközkölcsönzésből származó bevételeket.</w:t>
      </w:r>
    </w:p>
    <w:p w:rsidR="00FC1221" w:rsidRPr="00CD5C86" w:rsidRDefault="00FC1221" w:rsidP="00CD5C86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Intézményi ellátási díjakként vettük számításba 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iskolai, </w:t>
      </w:r>
      <w:r w:rsidR="00957E25">
        <w:rPr>
          <w:rFonts w:ascii="Times New Roman" w:eastAsia="Times New Roman" w:hAnsi="Times New Roman" w:cs="Times New Roman"/>
          <w:color w:val="auto"/>
          <w:lang w:val="hu-HU"/>
        </w:rPr>
        <w:t xml:space="preserve">óvodai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étkezéstérítést, valamint és a</w:t>
      </w:r>
      <w:r w:rsidR="00957E25">
        <w:rPr>
          <w:rFonts w:ascii="Times New Roman" w:eastAsia="Times New Roman" w:hAnsi="Times New Roman" w:cs="Times New Roman"/>
          <w:color w:val="auto"/>
          <w:lang w:val="hu-HU"/>
        </w:rPr>
        <w:t>z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57E25">
        <w:rPr>
          <w:rFonts w:ascii="Times New Roman" w:eastAsia="Times New Roman" w:hAnsi="Times New Roman" w:cs="Times New Roman"/>
          <w:color w:val="auto"/>
          <w:lang w:val="hu-HU"/>
        </w:rPr>
        <w:t>Gondozási Központnál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megjelenő díj befizetéseket. (</w:t>
      </w:r>
      <w:proofErr w:type="spell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Szoc</w:t>
      </w:r>
      <w:proofErr w:type="spellEnd"/>
      <w:r w:rsidRPr="00CD5C86">
        <w:rPr>
          <w:rFonts w:ascii="Times New Roman" w:eastAsia="Times New Roman" w:hAnsi="Times New Roman" w:cs="Times New Roman"/>
          <w:color w:val="auto"/>
          <w:lang w:val="hu-HU"/>
        </w:rPr>
        <w:t>. étkeztetés, házi segítségnyújtás)</w:t>
      </w:r>
    </w:p>
    <w:p w:rsidR="00FC1221" w:rsidRPr="00CD5C86" w:rsidRDefault="00FC1221" w:rsidP="00CD5C86">
      <w:pPr>
        <w:numPr>
          <w:ilvl w:val="0"/>
          <w:numId w:val="7"/>
        </w:numPr>
        <w:tabs>
          <w:tab w:val="num" w:pos="540"/>
          <w:tab w:val="left" w:pos="1560"/>
        </w:tabs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Kiszámlázott termékek és szolgáltatások </w:t>
      </w:r>
      <w:proofErr w:type="spell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ÁFA-ja</w:t>
      </w:r>
      <w:proofErr w:type="spell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tételen bevételként tervezzük meg az értékesített termékeink, szolgáltatásaink számláiba felszámított, a vevők által megfizetett általános forgalmi adók összegeit.</w:t>
      </w:r>
    </w:p>
    <w:p w:rsidR="00FC1221" w:rsidRPr="00CD5C86" w:rsidRDefault="00FC1221" w:rsidP="00CD5C86">
      <w:pPr>
        <w:numPr>
          <w:ilvl w:val="0"/>
          <w:numId w:val="7"/>
        </w:numPr>
        <w:tabs>
          <w:tab w:val="num" w:pos="540"/>
          <w:tab w:val="left" w:pos="1560"/>
        </w:tabs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Értékesített tárgyi eszközök Áfa-ként jelent meg felhalmozási és tőkebevételek </w:t>
      </w:r>
      <w:proofErr w:type="spell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ÁFA-ja</w:t>
      </w:r>
      <w:proofErr w:type="spell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. Ez az </w:t>
      </w:r>
      <w:proofErr w:type="spell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ÁFA-bevétel</w:t>
      </w:r>
      <w:proofErr w:type="spell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a földterület, lakótelek, garázstelek értékesítés, üzlettelkek, épületingatlanok, értékesítése után befolyt összeget tartalmazza. Ez az összeg a kiadási és bevételi oldalon is megjelenik, év közbeni várható bevételek jelenek meg ezen a soron. </w:t>
      </w:r>
    </w:p>
    <w:p w:rsidR="00FC1221" w:rsidRPr="00CD5C86" w:rsidRDefault="00FC1221" w:rsidP="00CD5C86">
      <w:pPr>
        <w:numPr>
          <w:ilvl w:val="0"/>
          <w:numId w:val="7"/>
        </w:numPr>
        <w:tabs>
          <w:tab w:val="num" w:pos="540"/>
          <w:tab w:val="left" w:pos="1560"/>
        </w:tabs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Kamatbevétel képződik a pénzintézetnél vezetett bankszámlán lévő pénzkészlete és lekötött betét után.</w:t>
      </w:r>
    </w:p>
    <w:p w:rsidR="00FC1221" w:rsidRPr="00CD5C86" w:rsidRDefault="00FC1221" w:rsidP="00CD5C86">
      <w:pPr>
        <w:numPr>
          <w:ilvl w:val="0"/>
          <w:numId w:val="7"/>
        </w:numPr>
        <w:ind w:left="5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Működési célú pénzeszköz átvétel államháztartáson kívülről működés közben keletkezhetnek bevételeink.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1466A" w:rsidRDefault="0041466A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tavalyi évhez képest az Intézményi bevételek csökkentek ennek okait már fent leírtam, de még egyszer összefoglalva:</w:t>
      </w:r>
    </w:p>
    <w:p w:rsidR="0041466A" w:rsidRDefault="0041466A" w:rsidP="0041466A">
      <w:pPr>
        <w:pStyle w:val="Listaszerbekezds"/>
        <w:numPr>
          <w:ilvl w:val="0"/>
          <w:numId w:val="15"/>
        </w:num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41466A">
        <w:rPr>
          <w:rFonts w:ascii="Times New Roman" w:eastAsia="Times New Roman" w:hAnsi="Times New Roman" w:cs="Times New Roman"/>
          <w:color w:val="auto"/>
          <w:lang w:val="hu-HU"/>
        </w:rPr>
        <w:t xml:space="preserve"> Konyhánál </w:t>
      </w:r>
      <w:proofErr w:type="gramStart"/>
      <w:r w:rsidRPr="0041466A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41466A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rezsi költségek nem kerülnek átszámlázásra, hanem pénzeszköz átadás történik</w:t>
      </w:r>
    </w:p>
    <w:p w:rsidR="0041466A" w:rsidRPr="0041466A" w:rsidRDefault="005D7B7B" w:rsidP="0041466A">
      <w:pPr>
        <w:pStyle w:val="Listaszerbekezds"/>
        <w:numPr>
          <w:ilvl w:val="0"/>
          <w:numId w:val="15"/>
        </w:num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Polgármesteri hivatalnál </w:t>
      </w:r>
      <w:proofErr w:type="gramStart"/>
      <w:r w:rsidRPr="0041466A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41466A">
        <w:rPr>
          <w:rFonts w:ascii="Times New Roman" w:eastAsia="Times New Roman" w:hAnsi="Times New Roman" w:cs="Times New Roman"/>
          <w:color w:val="auto"/>
          <w:lang w:val="hu-HU"/>
        </w:rPr>
        <w:t xml:space="preserve"> bevétel csökkenés az eszközértékesítés (m</w:t>
      </w:r>
      <w:r>
        <w:rPr>
          <w:rFonts w:ascii="Times New Roman" w:eastAsia="Times New Roman" w:hAnsi="Times New Roman" w:cs="Times New Roman"/>
          <w:color w:val="auto"/>
          <w:lang w:val="hu-HU"/>
        </w:rPr>
        <w:t>á</w:t>
      </w:r>
      <w:r w:rsidRPr="0041466A">
        <w:rPr>
          <w:rFonts w:ascii="Times New Roman" w:eastAsia="Times New Roman" w:hAnsi="Times New Roman" w:cs="Times New Roman"/>
          <w:color w:val="auto"/>
          <w:lang w:val="hu-HU"/>
        </w:rPr>
        <w:t>r tavalyi évben értékesítettük őket) illetve a Vízdíjhátralékok esetében jelentős (Ezek nagy része is mát behajtásra került).</w:t>
      </w:r>
    </w:p>
    <w:p w:rsidR="0041466A" w:rsidRDefault="0041466A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Működési bevételeink jogcímek és intézmények szerinti részletezését a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 xml:space="preserve">számú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táblázat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ban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mutatjuk be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  <w:t>2. Önkormányzat sajátos működési bevételei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2.2 Helyi adókból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származó bevételeinket a </w:t>
      </w:r>
      <w:r w:rsidR="00BE5471">
        <w:rPr>
          <w:rFonts w:ascii="Times New Roman" w:eastAsia="Times New Roman" w:hAnsi="Times New Roman" w:cs="Times New Roman"/>
          <w:color w:val="auto"/>
          <w:lang w:val="hu-HU"/>
        </w:rPr>
        <w:t>magánszemélyek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kommunális adójából, iparűzési adóból, idegenforgalmi adóból,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és mezőőri járulék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befizetések képezik.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Tervszámaink kialakításánál figyelembe vettük az elmúlt évben történt tényleges adóbefizetéseket, a december 20-i adófeltöltéseket és az adózóktól szerzett információkat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 illetve a jogszabályi változásokat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2.3. Átengedett központi adók: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  <w:t>2.3.1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u w:val="single"/>
          <w:lang w:val="hu-HU"/>
        </w:rPr>
        <w:t>Gépjárműadóból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a helyi magánszemélyek és vállalkozások által befizetett összeg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0 %-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illeti meg önkormányzatunkat.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A teljes összeget az önkormányzat szedi be, de tovább utalási kötelezettsége van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  <w:t>2.3.2.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u w:val="single"/>
          <w:lang w:val="hu-HU"/>
        </w:rPr>
        <w:t>Termőföld bérbeadásából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származó jövedelem utáni személyi jövedelemadó 100 %-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illeti meg önkormányzatunkat. 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2.4. Bírságok, pótlékok és egyéb sajátos bevételek: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Önkormányzatunknál jellemzően a </w:t>
      </w:r>
      <w:r w:rsidR="00557AB0">
        <w:rPr>
          <w:rFonts w:ascii="Times New Roman" w:eastAsia="Times New Roman" w:hAnsi="Times New Roman" w:cs="Times New Roman"/>
          <w:color w:val="auto"/>
          <w:lang w:val="hu-HU"/>
        </w:rPr>
        <w:t xml:space="preserve">nagyon kicsi és első sorba a helyi adófizetési kötelezettség megszegése miatt jelentkezik.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A pontos összeget nem lehet megállapítani előre, várhatóan </w:t>
      </w:r>
      <w:r w:rsidR="00557AB0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00 e Ft.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Tervezett működési bevételek összesen </w:t>
      </w:r>
      <w:r w:rsidR="00557AB0">
        <w:rPr>
          <w:rFonts w:ascii="Times New Roman" w:eastAsia="Times New Roman" w:hAnsi="Times New Roman" w:cs="Times New Roman"/>
          <w:b/>
          <w:color w:val="auto"/>
          <w:lang w:val="hu-HU"/>
        </w:rPr>
        <w:t>1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30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b/>
          <w:bCs/>
          <w:color w:val="auto"/>
          <w:lang w:val="hu-HU"/>
        </w:rPr>
        <w:t>370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 e 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>Ft. A működési bevételeken belül, az önkormányzat sajátos működési bevételeinek összege 3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5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935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e Ft-ot tesz ki (2.2 Helyi adók, 2.3. Átengedett központi adók, 2.4. Bírságok, pótlékok és egyéb sajátos bevételek).</w:t>
      </w:r>
    </w:p>
    <w:p w:rsidR="00984BBE" w:rsidRPr="00CD5C86" w:rsidRDefault="00984BBE" w:rsidP="00CD5C86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8579E6" w:rsidRPr="00B7291E" w:rsidRDefault="008579E6" w:rsidP="00B7291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627F2" w:rsidRPr="00262AB1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62AB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II. Támogatások</w:t>
      </w:r>
    </w:p>
    <w:p w:rsidR="004627F2" w:rsidRPr="00B7291E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B06A4A" w:rsidRPr="00FC3493" w:rsidRDefault="00B06A4A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1. A helyi Önkormányzatok működésének általános támogatása 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78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222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B06A4A" w:rsidRPr="00387168" w:rsidRDefault="009D4BA6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Itt jelenik meg </w:t>
      </w:r>
      <w:r w:rsidRPr="009D4BA6">
        <w:rPr>
          <w:rFonts w:ascii="Times New Roman" w:eastAsia="Times New Roman" w:hAnsi="Times New Roman" w:cs="Times New Roman"/>
          <w:color w:val="auto"/>
          <w:lang w:val="hu-HU"/>
        </w:rPr>
        <w:t>Önkormányzati hivatal működésének támogatása</w:t>
      </w:r>
      <w:r>
        <w:rPr>
          <w:rFonts w:ascii="Times New Roman" w:eastAsia="Times New Roman" w:hAnsi="Times New Roman" w:cs="Times New Roman"/>
          <w:color w:val="auto"/>
          <w:lang w:val="hu-HU"/>
        </w:rPr>
        <w:t>, mely 201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évtől létszám arányosan jár az önkormányzatoknak. A létszámokat a település lakosság száma illetve </w:t>
      </w:r>
      <w:r w:rsidRPr="00387168">
        <w:rPr>
          <w:rFonts w:ascii="Times New Roman" w:eastAsia="Times New Roman" w:hAnsi="Times New Roman" w:cs="Times New Roman"/>
          <w:color w:val="auto"/>
          <w:lang w:val="hu-HU"/>
        </w:rPr>
        <w:t xml:space="preserve">megnevezése alapján (Község vagy város) határozzák meg a kiegészítő mellékletben található számítás alapján. 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Jelenleg a jogszabály emelte önkormányzatunknál is a létszám keretet.</w:t>
      </w:r>
    </w:p>
    <w:p w:rsidR="00387168" w:rsidRPr="00387168" w:rsidRDefault="00387168" w:rsidP="00387168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387168">
        <w:rPr>
          <w:rFonts w:ascii="Times New Roman" w:hAnsi="Times New Roman" w:cs="Times New Roman"/>
          <w:b/>
        </w:rPr>
        <w:t>a</w:t>
      </w:r>
      <w:proofErr w:type="gramEnd"/>
      <w:r w:rsidRPr="00387168">
        <w:rPr>
          <w:rFonts w:ascii="Times New Roman" w:hAnsi="Times New Roman" w:cs="Times New Roman"/>
          <w:b/>
        </w:rPr>
        <w:t>, Önkormányzati hivatal (a polgármesteri hivatal) működésének támogatása:</w:t>
      </w:r>
    </w:p>
    <w:p w:rsidR="00F1196C" w:rsidRPr="00387168" w:rsidRDefault="00F1196C" w:rsidP="00387168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87168">
        <w:rPr>
          <w:rFonts w:ascii="Times New Roman" w:eastAsia="Times New Roman" w:hAnsi="Times New Roman" w:cs="Times New Roman"/>
          <w:color w:val="auto"/>
          <w:lang w:val="hu-HU"/>
        </w:rPr>
        <w:lastRenderedPageBreak/>
        <w:t>Fajlagos összeg: 4.580.000/fő</w:t>
      </w:r>
    </w:p>
    <w:p w:rsidR="00F1196C" w:rsidRPr="00F1196C" w:rsidRDefault="00F1196C" w:rsidP="00387168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F1196C">
        <w:rPr>
          <w:rFonts w:ascii="Times New Roman" w:eastAsia="Times New Roman" w:hAnsi="Times New Roman" w:cs="Times New Roman"/>
          <w:color w:val="auto"/>
          <w:lang w:val="hu-HU"/>
        </w:rPr>
        <w:t>A támogatás az elismert hivatali létszám alapján a személyi és dologi kiadások költségei figyelembe vételével illeti meg az önálló polgármesteri hivatallal rendelkező önkormányzatokat.</w:t>
      </w:r>
    </w:p>
    <w:p w:rsidR="00F1196C" w:rsidRPr="00F1196C" w:rsidRDefault="00F1196C" w:rsidP="00387168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F1196C">
        <w:rPr>
          <w:rFonts w:ascii="Times New Roman" w:eastAsia="Times New Roman" w:hAnsi="Times New Roman" w:cs="Times New Roman"/>
          <w:color w:val="auto"/>
          <w:lang w:val="hu-HU"/>
        </w:rPr>
        <w:t>A számított átlag létszám az alábbi képlet alapján állapítható meg.</w:t>
      </w:r>
    </w:p>
    <w:p w:rsidR="009D4BA6" w:rsidRDefault="00F1196C" w:rsidP="00387168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F1196C">
        <w:rPr>
          <w:rFonts w:ascii="Times New Roman" w:eastAsia="Times New Roman" w:hAnsi="Times New Roman" w:cs="Times New Roman"/>
          <w:color w:val="auto"/>
          <w:lang w:val="hu-HU"/>
        </w:rPr>
        <w:t>SZAL= c+ (</w:t>
      </w:r>
      <w:proofErr w:type="spellStart"/>
      <w:r w:rsidRPr="00F1196C">
        <w:rPr>
          <w:rFonts w:ascii="Times New Roman" w:eastAsia="Times New Roman" w:hAnsi="Times New Roman" w:cs="Times New Roman"/>
          <w:color w:val="auto"/>
          <w:lang w:val="hu-HU"/>
        </w:rPr>
        <w:t>ÖL-a</w:t>
      </w:r>
      <w:proofErr w:type="spellEnd"/>
      <w:r w:rsidRPr="00F1196C">
        <w:rPr>
          <w:rFonts w:ascii="Times New Roman" w:eastAsia="Times New Roman" w:hAnsi="Times New Roman" w:cs="Times New Roman"/>
          <w:color w:val="auto"/>
          <w:lang w:val="hu-HU"/>
        </w:rPr>
        <w:t>) / (</w:t>
      </w:r>
      <w:proofErr w:type="spellStart"/>
      <w:r w:rsidRPr="00F1196C">
        <w:rPr>
          <w:rFonts w:ascii="Times New Roman" w:eastAsia="Times New Roman" w:hAnsi="Times New Roman" w:cs="Times New Roman"/>
          <w:color w:val="auto"/>
          <w:lang w:val="hu-HU"/>
        </w:rPr>
        <w:t>b-a</w:t>
      </w:r>
      <w:proofErr w:type="spellEnd"/>
      <w:r w:rsidRPr="00F1196C">
        <w:rPr>
          <w:rFonts w:ascii="Times New Roman" w:eastAsia="Times New Roman" w:hAnsi="Times New Roman" w:cs="Times New Roman"/>
          <w:color w:val="auto"/>
          <w:lang w:val="hu-HU"/>
        </w:rPr>
        <w:t>) x (</w:t>
      </w:r>
      <w:proofErr w:type="spellStart"/>
      <w:r w:rsidRPr="00F1196C">
        <w:rPr>
          <w:rFonts w:ascii="Times New Roman" w:eastAsia="Times New Roman" w:hAnsi="Times New Roman" w:cs="Times New Roman"/>
          <w:color w:val="auto"/>
          <w:lang w:val="hu-HU"/>
        </w:rPr>
        <w:t>d-c</w:t>
      </w:r>
      <w:proofErr w:type="spellEnd"/>
      <w:r w:rsidRPr="00F1196C"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  <w:r w:rsidRPr="00F1196C">
        <w:rPr>
          <w:rFonts w:ascii="Times New Roman" w:eastAsia="Times New Roman" w:hAnsi="Times New Roman" w:cs="Times New Roman"/>
          <w:color w:val="auto"/>
          <w:lang w:val="hu-HU"/>
        </w:rPr>
        <w:sym w:font="Wingdings" w:char="F0E0"/>
      </w:r>
      <w:r w:rsidRPr="00F1196C">
        <w:rPr>
          <w:rFonts w:ascii="Times New Roman" w:eastAsia="Times New Roman" w:hAnsi="Times New Roman" w:cs="Times New Roman"/>
          <w:color w:val="auto"/>
          <w:lang w:val="hu-HU"/>
        </w:rPr>
        <w:t xml:space="preserve"> (két tizedes jegyre kerekítve)</w:t>
      </w:r>
    </w:p>
    <w:p w:rsidR="0005101F" w:rsidRP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5101F">
        <w:rPr>
          <w:rFonts w:ascii="Times New Roman" w:eastAsia="Times New Roman" w:hAnsi="Times New Roman" w:cs="Times New Roman"/>
          <w:color w:val="auto"/>
          <w:lang w:val="hu-HU"/>
        </w:rPr>
        <w:t>SZAL=számított alaplétszám,</w:t>
      </w:r>
    </w:p>
    <w:p w:rsidR="0005101F" w:rsidRP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5101F">
        <w:rPr>
          <w:rFonts w:ascii="Times New Roman" w:eastAsia="Times New Roman" w:hAnsi="Times New Roman" w:cs="Times New Roman"/>
          <w:color w:val="auto"/>
          <w:lang w:val="hu-HU"/>
        </w:rPr>
        <w:t xml:space="preserve">ÖL= az </w:t>
      </w:r>
      <w:proofErr w:type="gramStart"/>
      <w:r w:rsidRPr="0005101F">
        <w:rPr>
          <w:rFonts w:ascii="Times New Roman" w:eastAsia="Times New Roman" w:hAnsi="Times New Roman" w:cs="Times New Roman"/>
          <w:color w:val="auto"/>
          <w:lang w:val="hu-HU"/>
        </w:rPr>
        <w:t>önkormányzat(</w:t>
      </w:r>
      <w:proofErr w:type="gramEnd"/>
      <w:r w:rsidRPr="0005101F">
        <w:rPr>
          <w:rFonts w:ascii="Times New Roman" w:eastAsia="Times New Roman" w:hAnsi="Times New Roman" w:cs="Times New Roman"/>
          <w:color w:val="auto"/>
          <w:lang w:val="hu-HU"/>
        </w:rPr>
        <w:t>ok) lakosságszáma, amennyiben a közös hivatalt fenntartó önkormányzatok együttes lakosságszáma nem éri el a 2 000 főt, úgy 2 000 főként kell a számításkor figyelembe venni</w:t>
      </w:r>
      <w:r w:rsidR="00EE2552" w:rsidRPr="0005101F">
        <w:rPr>
          <w:rFonts w:ascii="Times New Roman" w:eastAsia="Times New Roman" w:hAnsi="Times New Roman" w:cs="Times New Roman"/>
          <w:color w:val="auto"/>
          <w:lang w:val="hu-HU"/>
        </w:rPr>
        <w:t>,</w:t>
      </w:r>
      <w:r w:rsidR="00EE2552">
        <w:rPr>
          <w:rFonts w:ascii="Times New Roman" w:eastAsia="Times New Roman" w:hAnsi="Times New Roman" w:cs="Times New Roman"/>
          <w:color w:val="auto"/>
          <w:lang w:val="hu-HU"/>
        </w:rPr>
        <w:t xml:space="preserve"> (ez jelenleg Tápiógyörgye esetében 3.621 fő)</w:t>
      </w:r>
    </w:p>
    <w:p w:rsidR="0005101F" w:rsidRP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05101F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05101F">
        <w:rPr>
          <w:rFonts w:ascii="Times New Roman" w:eastAsia="Times New Roman" w:hAnsi="Times New Roman" w:cs="Times New Roman"/>
          <w:color w:val="auto"/>
          <w:lang w:val="hu-HU"/>
        </w:rPr>
        <w:t>= az elismert hivatali létszám táblázat alapján a település típusa szerint az adott lakosságszám-kategória alsó határa,</w:t>
      </w:r>
      <w:r w:rsidR="009B63AF">
        <w:rPr>
          <w:rFonts w:ascii="Times New Roman" w:eastAsia="Times New Roman" w:hAnsi="Times New Roman" w:cs="Times New Roman"/>
          <w:color w:val="auto"/>
          <w:lang w:val="hu-HU"/>
        </w:rPr>
        <w:t xml:space="preserve"> (ez jelenleg </w:t>
      </w:r>
      <w:r w:rsidR="004659B3">
        <w:rPr>
          <w:rFonts w:ascii="Times New Roman" w:eastAsia="Times New Roman" w:hAnsi="Times New Roman" w:cs="Times New Roman"/>
          <w:color w:val="auto"/>
          <w:lang w:val="hu-HU"/>
        </w:rPr>
        <w:t>Tápiógyörgy</w:t>
      </w:r>
      <w:r w:rsidR="008E7621">
        <w:rPr>
          <w:rFonts w:ascii="Times New Roman" w:eastAsia="Times New Roman" w:hAnsi="Times New Roman" w:cs="Times New Roman"/>
          <w:color w:val="auto"/>
          <w:lang w:val="hu-HU"/>
        </w:rPr>
        <w:t>e esetében</w:t>
      </w:r>
      <w:r w:rsidR="004659B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>3.000</w:t>
      </w:r>
      <w:r w:rsidR="009B63AF">
        <w:rPr>
          <w:rFonts w:ascii="Times New Roman" w:eastAsia="Times New Roman" w:hAnsi="Times New Roman" w:cs="Times New Roman"/>
          <w:color w:val="auto"/>
          <w:lang w:val="hu-HU"/>
        </w:rPr>
        <w:t xml:space="preserve"> fő)</w:t>
      </w:r>
    </w:p>
    <w:p w:rsidR="0005101F" w:rsidRP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5101F">
        <w:rPr>
          <w:rFonts w:ascii="Times New Roman" w:eastAsia="Times New Roman" w:hAnsi="Times New Roman" w:cs="Times New Roman"/>
          <w:color w:val="auto"/>
          <w:lang w:val="hu-HU"/>
        </w:rPr>
        <w:t>b= az elismert hivatali létszám táblázat alapján a település típusa szerint az adott lakosságszám-kategória felső határa,</w:t>
      </w:r>
      <w:r w:rsidR="009B63AF" w:rsidRPr="009B63A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B63AF">
        <w:rPr>
          <w:rFonts w:ascii="Times New Roman" w:eastAsia="Times New Roman" w:hAnsi="Times New Roman" w:cs="Times New Roman"/>
          <w:color w:val="auto"/>
          <w:lang w:val="hu-HU"/>
        </w:rPr>
        <w:t xml:space="preserve">(ez jelenleg </w:t>
      </w:r>
      <w:r w:rsidR="004659B3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</w:t>
      </w:r>
      <w:r w:rsidR="00653F71">
        <w:rPr>
          <w:rFonts w:ascii="Times New Roman" w:eastAsia="Times New Roman" w:hAnsi="Times New Roman" w:cs="Times New Roman"/>
          <w:color w:val="auto"/>
          <w:lang w:val="hu-HU"/>
        </w:rPr>
        <w:t xml:space="preserve">esetében 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>5.000</w:t>
      </w:r>
      <w:r w:rsidR="009B63AF">
        <w:rPr>
          <w:rFonts w:ascii="Times New Roman" w:eastAsia="Times New Roman" w:hAnsi="Times New Roman" w:cs="Times New Roman"/>
          <w:color w:val="auto"/>
          <w:lang w:val="hu-HU"/>
        </w:rPr>
        <w:t xml:space="preserve"> fő)</w:t>
      </w:r>
    </w:p>
    <w:p w:rsidR="0005101F" w:rsidRP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5101F">
        <w:rPr>
          <w:rFonts w:ascii="Times New Roman" w:eastAsia="Times New Roman" w:hAnsi="Times New Roman" w:cs="Times New Roman"/>
          <w:color w:val="auto"/>
          <w:lang w:val="hu-HU"/>
        </w:rPr>
        <w:t>c= az elismert hivatali létszám táblázat alapján a település típusa szerint az adott lakosságszám-kategóriához tartozó elismert köztisztviselői létszám minimuma,</w:t>
      </w:r>
      <w:r w:rsidR="002730F6" w:rsidRPr="002730F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 xml:space="preserve">(ez jelenleg Tápiógyörgyén 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 xml:space="preserve"> fő)</w:t>
      </w:r>
    </w:p>
    <w:p w:rsidR="0005101F" w:rsidRDefault="0005101F" w:rsidP="0005101F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05101F">
        <w:rPr>
          <w:rFonts w:ascii="Times New Roman" w:eastAsia="Times New Roman" w:hAnsi="Times New Roman" w:cs="Times New Roman"/>
          <w:color w:val="auto"/>
          <w:lang w:val="hu-HU"/>
        </w:rPr>
        <w:t>d= az elismert hivatali létszám táblázat alapján a település típusa szerint az adott lakosságszám-kategóriához tartozó elismert köztisztviselői létszám maximuma</w:t>
      </w:r>
      <w:r w:rsidR="00653F71">
        <w:rPr>
          <w:rFonts w:ascii="Times New Roman" w:eastAsia="Times New Roman" w:hAnsi="Times New Roman" w:cs="Times New Roman"/>
          <w:color w:val="auto"/>
          <w:lang w:val="hu-HU"/>
        </w:rPr>
        <w:t xml:space="preserve">, 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>(ez jelenleg Tápiógyörgyén 1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2730F6">
        <w:rPr>
          <w:rFonts w:ascii="Times New Roman" w:eastAsia="Times New Roman" w:hAnsi="Times New Roman" w:cs="Times New Roman"/>
          <w:color w:val="auto"/>
          <w:lang w:val="hu-HU"/>
        </w:rPr>
        <w:t xml:space="preserve"> fő)</w:t>
      </w:r>
    </w:p>
    <w:p w:rsidR="00CC214B" w:rsidRDefault="00CC214B" w:rsidP="00387168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C214B">
        <w:rPr>
          <w:rFonts w:ascii="Times New Roman" w:eastAsia="Times New Roman" w:hAnsi="Times New Roman" w:cs="Times New Roman"/>
          <w:color w:val="auto"/>
          <w:lang w:val="hu-HU"/>
        </w:rPr>
        <w:t>II.1.1</w:t>
      </w:r>
      <w:proofErr w:type="gramStart"/>
      <w:r w:rsidRPr="00CC214B">
        <w:rPr>
          <w:rFonts w:ascii="Times New Roman" w:eastAsia="Times New Roman" w:hAnsi="Times New Roman" w:cs="Times New Roman"/>
          <w:color w:val="auto"/>
          <w:lang w:val="hu-HU"/>
        </w:rPr>
        <w:t>.a</w:t>
      </w:r>
      <w:proofErr w:type="gramEnd"/>
      <w:r w:rsidRPr="00CC214B">
        <w:rPr>
          <w:rFonts w:ascii="Times New Roman" w:eastAsia="Times New Roman" w:hAnsi="Times New Roman" w:cs="Times New Roman"/>
          <w:color w:val="auto"/>
          <w:lang w:val="hu-HU"/>
        </w:rPr>
        <w:t xml:space="preserve">) Önkormányzati hivatal működésének támogatása 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CC214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78</w:t>
      </w:r>
      <w:r w:rsidRPr="00CC214B">
        <w:rPr>
          <w:rFonts w:ascii="Times New Roman" w:eastAsia="Times New Roman" w:hAnsi="Times New Roman" w:cs="Times New Roman"/>
          <w:color w:val="auto"/>
          <w:lang w:val="hu-HU"/>
        </w:rPr>
        <w:t xml:space="preserve"> főx4.580.000 Ft. 4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792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</w:p>
    <w:p w:rsidR="0031773B" w:rsidRPr="0031773B" w:rsidRDefault="0031773B" w:rsidP="0031773B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31773B">
        <w:rPr>
          <w:rFonts w:ascii="Times New Roman" w:hAnsi="Times New Roman" w:cs="Times New Roman"/>
          <w:b/>
        </w:rPr>
        <w:t>b, Település-üzemeltetéshez kapcsolódó feladatellátás támogatása:</w:t>
      </w:r>
    </w:p>
    <w:p w:rsid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1773B">
        <w:rPr>
          <w:rFonts w:ascii="Times New Roman" w:eastAsia="Times New Roman" w:hAnsi="Times New Roman" w:cs="Times New Roman"/>
          <w:color w:val="auto"/>
          <w:lang w:val="hu-HU"/>
        </w:rPr>
        <w:t>II.1.1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.b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)Település-üzemeltetéshez kapcsolódó feladatellátás támogatása </w:t>
      </w:r>
    </w:p>
    <w:p w:rsidR="0031773B" w:rsidRP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proofErr w:type="gramStart"/>
      <w:r w:rsidR="009241A5">
        <w:rPr>
          <w:rFonts w:ascii="Times New Roman" w:eastAsia="Times New Roman" w:hAnsi="Times New Roman" w:cs="Times New Roman"/>
          <w:color w:val="auto"/>
          <w:lang w:val="hu-HU"/>
        </w:rPr>
        <w:t>az</w:t>
      </w:r>
      <w:proofErr w:type="gramEnd"/>
      <w:r w:rsidR="009241A5">
        <w:rPr>
          <w:rFonts w:ascii="Times New Roman" w:eastAsia="Times New Roman" w:hAnsi="Times New Roman" w:cs="Times New Roman"/>
          <w:color w:val="auto"/>
          <w:lang w:val="hu-HU"/>
        </w:rPr>
        <w:t xml:space="preserve"> lentebb felsoroltak alapján 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>összesen</w:t>
      </w:r>
      <w:r w:rsidR="009241A5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241A5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729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31773B" w:rsidRP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II.1.1.ba) 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zöldterület-gazdálkodással kapcsolatos feladatok ellátásának </w:t>
      </w:r>
    </w:p>
    <w:p w:rsidR="0031773B" w:rsidRP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      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támogatása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22.261 Ft./hektár"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>8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31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>1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31773B" w:rsidRP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    II.1.1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.bb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>) Közvilágítás fenntartásának támogatása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8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666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31773B" w:rsidRPr="0031773B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    II.1.1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.bc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>) Köztemető fenntartással kapcsolatos feladatok támogatása 1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04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387168" w:rsidRDefault="0031773B" w:rsidP="0031773B">
      <w:pPr>
        <w:tabs>
          <w:tab w:val="left" w:pos="284"/>
          <w:tab w:val="left" w:pos="567"/>
          <w:tab w:val="left" w:pos="1560"/>
        </w:tabs>
        <w:ind w:left="284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1773B">
        <w:rPr>
          <w:rFonts w:ascii="Times New Roman" w:eastAsia="Times New Roman" w:hAnsi="Times New Roman" w:cs="Times New Roman"/>
          <w:color w:val="auto"/>
          <w:lang w:val="hu-HU"/>
        </w:rPr>
        <w:t xml:space="preserve">     II.1.1</w:t>
      </w:r>
      <w:proofErr w:type="gramStart"/>
      <w:r w:rsidRPr="0031773B">
        <w:rPr>
          <w:rFonts w:ascii="Times New Roman" w:eastAsia="Times New Roman" w:hAnsi="Times New Roman" w:cs="Times New Roman"/>
          <w:color w:val="auto"/>
          <w:lang w:val="hu-HU"/>
        </w:rPr>
        <w:t>.bd</w:t>
      </w:r>
      <w:proofErr w:type="gramEnd"/>
      <w:r w:rsidRPr="0031773B">
        <w:rPr>
          <w:rFonts w:ascii="Times New Roman" w:eastAsia="Times New Roman" w:hAnsi="Times New Roman" w:cs="Times New Roman"/>
          <w:color w:val="auto"/>
          <w:lang w:val="hu-HU"/>
        </w:rPr>
        <w:t>) Közutak fenntartásának támogatása</w:t>
      </w:r>
      <w:r w:rsidRPr="0031773B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5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448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814587" w:rsidRPr="00814587" w:rsidRDefault="00814587" w:rsidP="00814587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 w:rsidRPr="00814587">
        <w:rPr>
          <w:rFonts w:ascii="Times New Roman" w:hAnsi="Times New Roman" w:cs="Times New Roman"/>
          <w:b/>
        </w:rPr>
        <w:t>c, Beszámítási összeg:</w:t>
      </w:r>
    </w:p>
    <w:p w:rsidR="00814587" w:rsidRPr="00814587" w:rsidRDefault="00814587" w:rsidP="00814587">
      <w:pPr>
        <w:pStyle w:val="Listaszerbekezds"/>
        <w:ind w:left="284"/>
        <w:jc w:val="both"/>
        <w:rPr>
          <w:rFonts w:ascii="Times New Roman" w:hAnsi="Times New Roman" w:cs="Times New Roman"/>
          <w:i/>
        </w:rPr>
      </w:pPr>
      <w:r w:rsidRPr="00814587">
        <w:rPr>
          <w:rFonts w:ascii="Times New Roman" w:hAnsi="Times New Roman" w:cs="Times New Roman"/>
          <w:i/>
        </w:rPr>
        <w:t>(Ez egy negatív szám kell, hogy legyen)</w:t>
      </w:r>
    </w:p>
    <w:p w:rsidR="00814587" w:rsidRDefault="00814587" w:rsidP="00814587">
      <w:pPr>
        <w:pStyle w:val="Listaszerbekezds"/>
        <w:ind w:left="284"/>
        <w:jc w:val="both"/>
        <w:rPr>
          <w:rFonts w:ascii="Times New Roman" w:hAnsi="Times New Roman" w:cs="Times New Roman"/>
        </w:rPr>
      </w:pPr>
      <w:r w:rsidRPr="00814587">
        <w:rPr>
          <w:rFonts w:ascii="Times New Roman" w:hAnsi="Times New Roman" w:cs="Times New Roman"/>
        </w:rPr>
        <w:t xml:space="preserve">Az </w:t>
      </w:r>
      <w:proofErr w:type="spellStart"/>
      <w:r w:rsidRPr="00814587">
        <w:rPr>
          <w:rFonts w:ascii="Times New Roman" w:hAnsi="Times New Roman" w:cs="Times New Roman"/>
        </w:rPr>
        <w:t>a-b</w:t>
      </w:r>
      <w:proofErr w:type="spellEnd"/>
      <w:r w:rsidRPr="00814587">
        <w:rPr>
          <w:rFonts w:ascii="Times New Roman" w:hAnsi="Times New Roman" w:cs="Times New Roman"/>
        </w:rPr>
        <w:t xml:space="preserve"> alpontok szerint számított támogatás önkormányzatonkénti együttes összegét csökkenti az önkormányzat elvárt bevétele. Az elvárt bevétel a 201</w:t>
      </w:r>
      <w:r w:rsidR="005D7B7B">
        <w:rPr>
          <w:rFonts w:ascii="Times New Roman" w:hAnsi="Times New Roman" w:cs="Times New Roman"/>
        </w:rPr>
        <w:t>2</w:t>
      </w:r>
      <w:r w:rsidRPr="00814587">
        <w:rPr>
          <w:rFonts w:ascii="Times New Roman" w:hAnsi="Times New Roman" w:cs="Times New Roman"/>
        </w:rPr>
        <w:t xml:space="preserve">. évi iparűzési adóalap 0,5%-át jelenti. </w:t>
      </w:r>
    </w:p>
    <w:p w:rsidR="005F29C4" w:rsidRPr="00814587" w:rsidRDefault="005F29C4" w:rsidP="00814587">
      <w:pPr>
        <w:pStyle w:val="Listaszerbekezds"/>
        <w:ind w:left="284"/>
        <w:jc w:val="both"/>
        <w:rPr>
          <w:rFonts w:ascii="Times New Roman" w:hAnsi="Times New Roman" w:cs="Times New Roman"/>
        </w:rPr>
      </w:pPr>
      <w:r w:rsidRPr="005F29C4">
        <w:rPr>
          <w:rFonts w:ascii="Times New Roman" w:hAnsi="Times New Roman" w:cs="Times New Roman"/>
        </w:rPr>
        <w:t>II.1.1</w:t>
      </w:r>
      <w:proofErr w:type="gramStart"/>
      <w:r w:rsidRPr="005F29C4">
        <w:rPr>
          <w:rFonts w:ascii="Times New Roman" w:hAnsi="Times New Roman" w:cs="Times New Roman"/>
        </w:rPr>
        <w:t>.c</w:t>
      </w:r>
      <w:proofErr w:type="gramEnd"/>
      <w:r w:rsidRPr="005F29C4">
        <w:rPr>
          <w:rFonts w:ascii="Times New Roman" w:hAnsi="Times New Roman" w:cs="Times New Roman"/>
        </w:rPr>
        <w:t>) Beszámítás összege</w:t>
      </w:r>
      <w:r w:rsidR="005D7B7B">
        <w:rPr>
          <w:rFonts w:ascii="Times New Roman" w:hAnsi="Times New Roman" w:cs="Times New Roman"/>
        </w:rPr>
        <w:t xml:space="preserve"> jelenleg még 0 Ft.</w:t>
      </w:r>
      <w:r>
        <w:rPr>
          <w:rFonts w:ascii="Times New Roman" w:hAnsi="Times New Roman" w:cs="Times New Roman"/>
        </w:rPr>
        <w:t>.</w:t>
      </w:r>
    </w:p>
    <w:p w:rsidR="00D42930" w:rsidRPr="00D42930" w:rsidRDefault="00D42930" w:rsidP="00D4293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D42930">
        <w:rPr>
          <w:rFonts w:ascii="Times New Roman" w:eastAsia="Times New Roman" w:hAnsi="Times New Roman" w:cs="Times New Roman"/>
          <w:b/>
          <w:color w:val="auto"/>
          <w:lang w:val="hu-HU"/>
        </w:rPr>
        <w:t>d, Egyéb kötelező önkormányzati feladatok támogatása:</w:t>
      </w:r>
    </w:p>
    <w:p w:rsidR="00D42930" w:rsidRPr="00814587" w:rsidRDefault="00705936" w:rsidP="00D4293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705936">
        <w:rPr>
          <w:rFonts w:ascii="Times New Roman" w:eastAsia="Times New Roman" w:hAnsi="Times New Roman" w:cs="Times New Roman"/>
          <w:color w:val="auto"/>
          <w:lang w:val="hu-HU"/>
        </w:rPr>
        <w:t>II.1</w:t>
      </w:r>
      <w:proofErr w:type="gramStart"/>
      <w:r w:rsidRPr="00705936">
        <w:rPr>
          <w:rFonts w:ascii="Times New Roman" w:eastAsia="Times New Roman" w:hAnsi="Times New Roman" w:cs="Times New Roman"/>
          <w:color w:val="auto"/>
          <w:lang w:val="hu-HU"/>
        </w:rPr>
        <w:t>.d</w:t>
      </w:r>
      <w:proofErr w:type="gramEnd"/>
      <w:r w:rsidRPr="00705936">
        <w:rPr>
          <w:rFonts w:ascii="Times New Roman" w:eastAsia="Times New Roman" w:hAnsi="Times New Roman" w:cs="Times New Roman"/>
          <w:color w:val="auto"/>
          <w:lang w:val="hu-HU"/>
        </w:rPr>
        <w:t>) Egyéb kötelező önkormányzati feladatok támogatása 3.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593</w:t>
      </w:r>
      <w:r w:rsidRPr="00705936">
        <w:rPr>
          <w:rFonts w:ascii="Times New Roman" w:eastAsia="Times New Roman" w:hAnsi="Times New Roman" w:cs="Times New Roman"/>
          <w:color w:val="auto"/>
          <w:lang w:val="hu-HU"/>
        </w:rPr>
        <w:t xml:space="preserve"> főx2.700 Ft.</w:t>
      </w:r>
      <w:r w:rsidR="00A45D28">
        <w:rPr>
          <w:rFonts w:ascii="Times New Roman" w:eastAsia="Times New Roman" w:hAnsi="Times New Roman" w:cs="Times New Roman"/>
          <w:color w:val="auto"/>
          <w:lang w:val="hu-HU"/>
        </w:rPr>
        <w:t>=</w:t>
      </w:r>
      <w:r w:rsidRPr="00705936">
        <w:rPr>
          <w:rFonts w:ascii="Times New Roman" w:eastAsia="Times New Roman" w:hAnsi="Times New Roman" w:cs="Times New Roman"/>
          <w:color w:val="auto"/>
          <w:lang w:val="hu-HU"/>
        </w:rPr>
        <w:t>9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705936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5D7B7B">
        <w:rPr>
          <w:rFonts w:ascii="Times New Roman" w:eastAsia="Times New Roman" w:hAnsi="Times New Roman" w:cs="Times New Roman"/>
          <w:color w:val="auto"/>
          <w:lang w:val="hu-HU"/>
        </w:rPr>
        <w:t>01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E73B5A" w:rsidRPr="00FC3493" w:rsidRDefault="00E73B5A" w:rsidP="00F1196C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2. A települési Önkormányzatok egyes köznevelési és gyermekétkeztetési feladatainak támogatása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46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920</w:t>
      </w:r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1C415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E73B5A" w:rsidRDefault="00E73B5A" w:rsidP="00F1196C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3. A települési Önkormányzatok szociális és gyermekjóléti feladatainak támogatása</w:t>
      </w:r>
    </w:p>
    <w:p w:rsidR="00D1478B" w:rsidRPr="00FC3493" w:rsidRDefault="00D1478B" w:rsidP="00F1196C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53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5D7B7B">
        <w:rPr>
          <w:rFonts w:ascii="Times New Roman" w:eastAsia="Times New Roman" w:hAnsi="Times New Roman" w:cs="Times New Roman"/>
          <w:b/>
          <w:color w:val="auto"/>
          <w:lang w:val="hu-HU"/>
        </w:rPr>
        <w:t>778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4627F2" w:rsidRPr="00FC3493" w:rsidRDefault="00E73B5A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4. A települési Önkormányzatok kulturális feladatainak </w:t>
      </w:r>
      <w:proofErr w:type="gramStart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támogatása</w:t>
      </w:r>
      <w:r w:rsidR="00D1478B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D1478B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</w:t>
      </w:r>
      <w:r w:rsidR="0095115E">
        <w:rPr>
          <w:rFonts w:ascii="Times New Roman" w:eastAsia="Times New Roman" w:hAnsi="Times New Roman" w:cs="Times New Roman"/>
          <w:b/>
          <w:color w:val="auto"/>
          <w:lang w:val="hu-HU"/>
        </w:rPr>
        <w:t>0</w:t>
      </w:r>
      <w:proofErr w:type="gramEnd"/>
      <w:r w:rsidR="00D1478B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D1478B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D1478B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E73B5A" w:rsidRPr="00FC3493" w:rsidRDefault="00FC3493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5. A helyi Önkormányzatok által </w:t>
      </w:r>
      <w:proofErr w:type="spellStart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felh</w:t>
      </w:r>
      <w:proofErr w:type="spellEnd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. Központosított </w:t>
      </w:r>
      <w:proofErr w:type="spellStart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előriny</w:t>
      </w:r>
      <w:proofErr w:type="spellEnd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FC3493" w:rsidRPr="00FC3493" w:rsidRDefault="00FC3493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FC3493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II Támogatások összesen (1.1-1.5.):</w:t>
      </w: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3D6032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3D6032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3D6032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="003D6032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1</w:t>
      </w:r>
      <w:r w:rsidR="0095115E">
        <w:rPr>
          <w:rFonts w:ascii="Times New Roman" w:eastAsia="Times New Roman" w:hAnsi="Times New Roman" w:cs="Times New Roman"/>
          <w:b/>
          <w:color w:val="auto"/>
          <w:lang w:val="hu-HU"/>
        </w:rPr>
        <w:t>78</w:t>
      </w: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95115E">
        <w:rPr>
          <w:rFonts w:ascii="Times New Roman" w:eastAsia="Times New Roman" w:hAnsi="Times New Roman" w:cs="Times New Roman"/>
          <w:b/>
          <w:color w:val="auto"/>
          <w:lang w:val="hu-HU"/>
        </w:rPr>
        <w:t>92</w:t>
      </w:r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0 </w:t>
      </w:r>
      <w:proofErr w:type="spellStart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Pr="00FC3493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FC3493" w:rsidRDefault="00FC3493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előzőekben felsorolt támogatások a Magyar Állam kincstár által megadott összegekkel egyezik meg. Ezek részletezése az </w:t>
      </w:r>
      <w:r w:rsidRPr="007E70F1">
        <w:rPr>
          <w:rFonts w:ascii="Times New Roman" w:eastAsia="Times New Roman" w:hAnsi="Times New Roman" w:cs="Times New Roman"/>
          <w:color w:val="auto"/>
          <w:u w:val="single"/>
          <w:lang w:val="hu-HU"/>
        </w:rPr>
        <w:t xml:space="preserve">1. számú melléklet római </w:t>
      </w:r>
      <w:proofErr w:type="spellStart"/>
      <w:r w:rsidRPr="007E70F1">
        <w:rPr>
          <w:rFonts w:ascii="Times New Roman" w:eastAsia="Times New Roman" w:hAnsi="Times New Roman" w:cs="Times New Roman"/>
          <w:color w:val="auto"/>
          <w:u w:val="single"/>
          <w:lang w:val="hu-HU"/>
        </w:rPr>
        <w:t>II.-ben</w:t>
      </w:r>
      <w:proofErr w:type="spellEnd"/>
      <w:r w:rsidRPr="007E70F1">
        <w:rPr>
          <w:rFonts w:ascii="Times New Roman" w:eastAsia="Times New Roman" w:hAnsi="Times New Roman" w:cs="Times New Roman"/>
          <w:color w:val="auto"/>
          <w:u w:val="single"/>
          <w:lang w:val="hu-HU"/>
        </w:rPr>
        <w:t xml:space="preserve"> megtalálható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3493" w:rsidRDefault="00FC3493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5115E" w:rsidRDefault="0095115E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Várható támogatási összeg még:</w:t>
      </w:r>
    </w:p>
    <w:p w:rsidR="0095115E" w:rsidRDefault="0095115E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5115E">
        <w:rPr>
          <w:rFonts w:ascii="Times New Roman" w:eastAsia="Times New Roman" w:hAnsi="Times New Roman" w:cs="Times New Roman"/>
          <w:color w:val="auto"/>
          <w:lang w:val="hu-HU"/>
        </w:rPr>
        <w:t xml:space="preserve">A települési Önkormányzatok kulturális feladatainak </w:t>
      </w:r>
      <w:proofErr w:type="gramStart"/>
      <w:r w:rsidRPr="0095115E">
        <w:rPr>
          <w:rFonts w:ascii="Times New Roman" w:eastAsia="Times New Roman" w:hAnsi="Times New Roman" w:cs="Times New Roman"/>
          <w:color w:val="auto"/>
          <w:lang w:val="hu-HU"/>
        </w:rPr>
        <w:t>támogatása</w:t>
      </w:r>
      <w:r w:rsidRPr="0095115E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95115E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4</w:t>
      </w:r>
      <w:proofErr w:type="gramEnd"/>
      <w:r w:rsidRPr="0095115E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>096</w:t>
      </w:r>
      <w:r w:rsidRPr="0095115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95115E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95115E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95115E" w:rsidRDefault="0095115E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VIS MAIOR 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10.000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3493" w:rsidRDefault="00FC3493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Betervezésre került a költségvetésbe a </w:t>
      </w:r>
      <w:r w:rsidRPr="00FC3493">
        <w:rPr>
          <w:rFonts w:ascii="Times New Roman" w:eastAsia="Times New Roman" w:hAnsi="Times New Roman" w:cs="Times New Roman"/>
          <w:color w:val="auto"/>
          <w:lang w:val="hu-HU"/>
        </w:rPr>
        <w:t xml:space="preserve">II.6.2. Egyes jövedelempótló támogatások állami rész </w:t>
      </w:r>
      <w:r>
        <w:rPr>
          <w:rFonts w:ascii="Times New Roman" w:eastAsia="Times New Roman" w:hAnsi="Times New Roman" w:cs="Times New Roman"/>
          <w:color w:val="auto"/>
          <w:lang w:val="hu-HU"/>
        </w:rPr>
        <w:t>is ez a szociális segélyek alapján a tavalyi évi bázis adatokból számítottuk ki.</w:t>
      </w:r>
    </w:p>
    <w:p w:rsidR="00FC3493" w:rsidRDefault="003C3601" w:rsidP="003C3601">
      <w:pPr>
        <w:tabs>
          <w:tab w:val="left" w:pos="284"/>
          <w:tab w:val="left" w:pos="567"/>
          <w:tab w:val="left" w:pos="1560"/>
        </w:tabs>
        <w:jc w:val="right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Ezer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3823"/>
        <w:gridCol w:w="1276"/>
        <w:gridCol w:w="850"/>
        <w:gridCol w:w="1560"/>
        <w:gridCol w:w="1136"/>
      </w:tblGrid>
      <w:tr w:rsidR="00FC3493" w:rsidRPr="00FC3493" w:rsidTr="00935E48">
        <w:trPr>
          <w:trHeight w:val="315"/>
        </w:trPr>
        <w:tc>
          <w:tcPr>
            <w:tcW w:w="4219" w:type="dxa"/>
            <w:gridSpan w:val="2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VI. Társadalmi és szociálpolitikai juttatások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C3493" w:rsidRPr="00FC3493" w:rsidTr="00935E48">
        <w:trPr>
          <w:trHeight w:val="861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A, Önkormányzat által folyósított ellátások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gridSpan w:val="2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Önkormányzati rész:</w:t>
            </w: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Önk. fizetendő százaléka</w:t>
            </w:r>
          </w:p>
        </w:tc>
      </w:tr>
      <w:tr w:rsidR="00FC3493" w:rsidRPr="00FC3493" w:rsidTr="00935E48">
        <w:trPr>
          <w:trHeight w:val="315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Foglalkoztatást helyettesítő támogatás (70 fő)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19 200</w:t>
            </w:r>
          </w:p>
        </w:tc>
        <w:tc>
          <w:tcPr>
            <w:tcW w:w="85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3 840</w:t>
            </w:r>
          </w:p>
        </w:tc>
        <w:tc>
          <w:tcPr>
            <w:tcW w:w="156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20%</w:t>
            </w:r>
          </w:p>
        </w:tc>
      </w:tr>
      <w:tr w:rsidR="00FC3493" w:rsidRPr="00FC3493" w:rsidTr="00935E48">
        <w:trPr>
          <w:trHeight w:val="315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Lakásfenntartási támogatás (227 fő)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95115E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13 6</w:t>
            </w:r>
            <w:r w:rsidR="00FC3493" w:rsidRPr="00FC3493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C3493" w:rsidRPr="00FC3493" w:rsidRDefault="0095115E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1 36</w:t>
            </w:r>
            <w:r w:rsidR="00FC3493" w:rsidRPr="00FC3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10%</w:t>
            </w:r>
          </w:p>
        </w:tc>
      </w:tr>
      <w:tr w:rsidR="00FC3493" w:rsidRPr="00FC3493" w:rsidTr="00935E48">
        <w:trPr>
          <w:trHeight w:val="315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Rendszeres gyermekvédelmi támogatás (2 x kifizetés 300 fő)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95115E" w:rsidP="0095115E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FC3493" w:rsidRPr="00FC3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FC3493" w:rsidRPr="00FC3493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850" w:type="dxa"/>
            <w:noWrap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</w:tr>
      <w:tr w:rsidR="00FC3493" w:rsidRPr="00FC3493" w:rsidTr="00935E48">
        <w:trPr>
          <w:trHeight w:val="315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Óvodáztatási támogatás (2 x kifizetés15 fő)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95115E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FC3493" w:rsidRPr="00FC3493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850" w:type="dxa"/>
            <w:noWrap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C3493">
              <w:rPr>
                <w:rFonts w:ascii="Times New Roman" w:eastAsia="Times New Roman" w:hAnsi="Times New Roman" w:cs="Times New Roman"/>
                <w:b/>
                <w:color w:val="auto"/>
              </w:rPr>
              <w:t>Különbözet</w:t>
            </w:r>
            <w:r w:rsidRPr="00FC3493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  <w:proofErr w:type="gramEnd"/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</w:tr>
      <w:tr w:rsidR="00FC3493" w:rsidRPr="00FC3493" w:rsidTr="00935E48">
        <w:trPr>
          <w:trHeight w:val="315"/>
        </w:trPr>
        <w:tc>
          <w:tcPr>
            <w:tcW w:w="39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3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A, Önkormányzat által folyósított ellátások összesen:</w:t>
            </w:r>
          </w:p>
        </w:tc>
        <w:tc>
          <w:tcPr>
            <w:tcW w:w="1276" w:type="dxa"/>
            <w:noWrap/>
            <w:hideMark/>
          </w:tcPr>
          <w:p w:rsidR="00FC3493" w:rsidRPr="00FC3493" w:rsidRDefault="00FC3493" w:rsidP="0095115E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  <w:r w:rsidR="0095115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95115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 w:rsidRPr="00FC3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850" w:type="dxa"/>
            <w:noWrap/>
            <w:hideMark/>
          </w:tcPr>
          <w:p w:rsidR="00FC3493" w:rsidRPr="00FC3493" w:rsidRDefault="00FC3493" w:rsidP="0095115E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 xml:space="preserve">5 </w:t>
            </w:r>
            <w:r w:rsidR="0095115E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FC3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FC3493" w:rsidRPr="00FC3493" w:rsidRDefault="00FC3493" w:rsidP="0095115E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3493">
              <w:rPr>
                <w:rFonts w:ascii="Times New Roman" w:eastAsia="Times New Roman" w:hAnsi="Times New Roman" w:cs="Times New Roman"/>
                <w:color w:val="auto"/>
              </w:rPr>
              <w:t xml:space="preserve">31 </w:t>
            </w:r>
            <w:r w:rsidR="0095115E">
              <w:rPr>
                <w:rFonts w:ascii="Times New Roman" w:eastAsia="Times New Roman" w:hAnsi="Times New Roman" w:cs="Times New Roman"/>
                <w:color w:val="auto"/>
              </w:rPr>
              <w:t>90</w:t>
            </w:r>
            <w:r w:rsidRPr="00FC3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6" w:type="dxa"/>
            <w:noWrap/>
            <w:hideMark/>
          </w:tcPr>
          <w:p w:rsidR="00FC3493" w:rsidRPr="00FC3493" w:rsidRDefault="00FC3493" w:rsidP="00FC3493">
            <w:pPr>
              <w:tabs>
                <w:tab w:val="left" w:pos="284"/>
                <w:tab w:val="left" w:pos="567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C3493" w:rsidRDefault="00935E48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kiadási oldalon a</w:t>
      </w:r>
      <w:r w:rsidR="00196887">
        <w:rPr>
          <w:rFonts w:ascii="Times New Roman" w:eastAsia="Times New Roman" w:hAnsi="Times New Roman" w:cs="Times New Roman"/>
          <w:color w:val="auto"/>
          <w:lang w:val="hu-HU"/>
        </w:rPr>
        <w:t>z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önkormányzati (polgármesteri) hivatalnál kerül bemutatásra a 6. számú mellékletben. Az önkormányzatnak a </w:t>
      </w:r>
      <w:r w:rsidR="00196887">
        <w:rPr>
          <w:rFonts w:ascii="Times New Roman" w:eastAsia="Times New Roman" w:hAnsi="Times New Roman" w:cs="Times New Roman"/>
          <w:color w:val="auto"/>
          <w:lang w:val="hu-HU"/>
        </w:rPr>
        <w:t>„</w:t>
      </w:r>
      <w:r w:rsidR="00196887" w:rsidRPr="00196887">
        <w:rPr>
          <w:rFonts w:ascii="Times New Roman" w:eastAsia="Times New Roman" w:hAnsi="Times New Roman" w:cs="Times New Roman"/>
          <w:color w:val="auto"/>
          <w:lang w:val="hu-HU"/>
        </w:rPr>
        <w:t>Társadalmi és szociálpolitikai juttatások</w:t>
      </w:r>
      <w:r w:rsidR="00196887">
        <w:rPr>
          <w:rFonts w:ascii="Times New Roman" w:eastAsia="Times New Roman" w:hAnsi="Times New Roman" w:cs="Times New Roman"/>
          <w:color w:val="auto"/>
          <w:lang w:val="hu-HU"/>
        </w:rPr>
        <w:t>”</w:t>
      </w:r>
      <w:r w:rsidR="00196887" w:rsidRPr="00196887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96887">
        <w:rPr>
          <w:rFonts w:ascii="Times New Roman" w:eastAsia="Times New Roman" w:hAnsi="Times New Roman" w:cs="Times New Roman"/>
          <w:color w:val="auto"/>
          <w:lang w:val="hu-HU"/>
        </w:rPr>
        <w:t xml:space="preserve">(segélyek) </w:t>
      </w:r>
      <w:r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>7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>1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eFt.-hoz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5.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>20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 önrészt kell hozzá tenni. Az államtól így összesen 31.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>90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0.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igényelhető. Ez a szám a létszámok változásával módosul.  </w:t>
      </w:r>
    </w:p>
    <w:p w:rsidR="00FC3493" w:rsidRDefault="00FC3493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III.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és tőke jellegű bevételek</w:t>
      </w:r>
    </w:p>
    <w:p w:rsidR="004627F2" w:rsidRPr="00B7291E" w:rsidRDefault="00D54A52" w:rsidP="00BD287D">
      <w:pPr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önkormányzat 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a felhalmozási és tőke jellegű bevételeinket 0 e Ft-ra tervez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i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. Az idei évben a vagyongazdálkodásunk felülvizsgálatra kerül. Az önkormányzat költségvetési egyensúlyát ezen bevételek nélkül kell megteremtenie a Képviselő-testületnek.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IV. Támogatás értékű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tervezett bevételeink teljes mértéke működési jellegű feladataink ellátásához </w:t>
      </w:r>
      <w:proofErr w:type="gramStart"/>
      <w:r w:rsidRPr="00B7291E">
        <w:rPr>
          <w:rFonts w:ascii="Times New Roman" w:eastAsia="Times New Roman" w:hAnsi="Times New Roman" w:cs="Times New Roman"/>
          <w:color w:val="auto"/>
          <w:lang w:val="hu-HU"/>
        </w:rPr>
        <w:t>kerülnek</w:t>
      </w:r>
      <w:proofErr w:type="gramEnd"/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átvételre az 1. sz. melléklet IV. fejezetében felsorolt szervektől és a részletezett jogcímek szerint.</w:t>
      </w: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V. Megtérülések</w:t>
      </w:r>
    </w:p>
    <w:p w:rsidR="004627F2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A korábbi években lakásépítéshez, lakásvásárláshoz és lakásfelújításokhoz nyújtott 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felhalmozási célú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önkormányzati kölcsöntámogatások törlesztő részletei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 jelenhetnének meg itt ezen a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jogcím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>en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26822" w:rsidRPr="00B7291E" w:rsidRDefault="00B2682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VI. Pénzforgalom nélküli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>Betervezésre került a 201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 évi szabad pénzmaradvány várható összege. Az összeg felosztása a jogszabálynak megfelelően a zárszámadással együtt történik meg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 xml:space="preserve"> várhatóan április végén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>Ez az összeg még módosulhat.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VIII. </w:t>
      </w:r>
      <w:proofErr w:type="gram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A</w:t>
      </w:r>
      <w:proofErr w:type="gram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költségvetési bevételek 201</w:t>
      </w:r>
      <w:r w:rsidR="0095115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. évben összesen: </w:t>
      </w:r>
      <w:r w:rsid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4</w:t>
      </w:r>
      <w:r w:rsidR="0095115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06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95115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183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</w:p>
    <w:p w:rsidR="002D07A2" w:rsidRDefault="002D07A2" w:rsidP="00BD287D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proofErr w:type="gramStart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IX.  Finanszírozási</w:t>
      </w:r>
      <w:proofErr w:type="gramEnd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bevétel</w:t>
      </w:r>
    </w:p>
    <w:p w:rsidR="002D07A2" w:rsidRPr="002D07A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2D07A2">
        <w:rPr>
          <w:rFonts w:ascii="Times New Roman" w:eastAsia="Times New Roman" w:hAnsi="Times New Roman" w:cs="Times New Roman"/>
          <w:color w:val="auto"/>
          <w:lang w:val="hu-HU"/>
        </w:rPr>
        <w:t>A felhalmozási hitelfelvétel jelenik meg</w:t>
      </w:r>
      <w:r w:rsidR="0095115E">
        <w:rPr>
          <w:rFonts w:ascii="Times New Roman" w:eastAsia="Times New Roman" w:hAnsi="Times New Roman" w:cs="Times New Roman"/>
          <w:color w:val="auto"/>
          <w:lang w:val="hu-HU"/>
        </w:rPr>
        <w:t xml:space="preserve"> nincs.</w:t>
      </w:r>
    </w:p>
    <w:p w:rsidR="002D07A2" w:rsidRPr="002D07A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0"/>
          <w:tab w:val="left" w:pos="284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A Önkormányzat bevételének sarokszáma így összesen: </w:t>
      </w:r>
      <w:r w:rsidR="00164C0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4</w:t>
      </w:r>
      <w:r w:rsidR="0095115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06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95115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183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</w:p>
    <w:p w:rsidR="0040407E" w:rsidRDefault="0040407E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2. számú melléklet </w:t>
      </w:r>
      <w:r w:rsidR="006C61E8">
        <w:rPr>
          <w:sz w:val="24"/>
          <w:szCs w:val="24"/>
        </w:rPr>
        <w:t>„</w:t>
      </w:r>
      <w:r w:rsidRPr="0040407E">
        <w:rPr>
          <w:sz w:val="24"/>
          <w:szCs w:val="24"/>
        </w:rPr>
        <w:t>Önállóan működő és gazdálkodó, valamint önállóan működő intézmények bevételei 2013</w:t>
      </w:r>
      <w:r w:rsidR="006C61E8">
        <w:rPr>
          <w:sz w:val="24"/>
          <w:szCs w:val="24"/>
        </w:rPr>
        <w:t>.</w:t>
      </w:r>
      <w:r w:rsidRPr="0040407E">
        <w:rPr>
          <w:sz w:val="24"/>
          <w:szCs w:val="24"/>
        </w:rPr>
        <w:t xml:space="preserve"> évben</w:t>
      </w:r>
      <w:r w:rsidR="006C61E8">
        <w:rPr>
          <w:sz w:val="24"/>
          <w:szCs w:val="24"/>
        </w:rPr>
        <w:t>” című intézményenkénti bontásban mutatja be a bevételeket. Az 1. számú bevételeket osztja meg intézményenként.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lastRenderedPageBreak/>
        <w:t>Kiadások</w:t>
      </w:r>
    </w:p>
    <w:p w:rsid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61E8">
        <w:rPr>
          <w:rFonts w:ascii="Times New Roman" w:eastAsia="Times New Roman" w:hAnsi="Times New Roman" w:cs="Times New Roman"/>
          <w:color w:val="auto"/>
          <w:lang w:val="hu-HU"/>
        </w:rPr>
        <w:t>A ki</w:t>
      </w:r>
      <w:r>
        <w:rPr>
          <w:rFonts w:ascii="Times New Roman" w:eastAsia="Times New Roman" w:hAnsi="Times New Roman" w:cs="Times New Roman"/>
          <w:color w:val="auto"/>
          <w:lang w:val="hu-HU"/>
        </w:rPr>
        <w:t>adások két fő részre bontható „működési, fenntartási kiadások” illetve felhalmozási kiadásokra.</w:t>
      </w:r>
    </w:p>
    <w:p w:rsidR="006C61E8" w:rsidRP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Működési, fenntartási kiadások</w:t>
      </w:r>
    </w:p>
    <w:p w:rsidR="008559CA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költségvetést összeállító munkánk legjelentősebb és talán legfelelősségteljesebb feladatát képezte az önkormányzatunk által ellátandó - egyrészt a kötelezően, másrészt az önként vállalt - feladatok feltételeinek és pénzügyi hátterének megteremtése, a település zavartalan üzemeltetésének, meglévő intézményeink működésének biztosítása. A kiadások nagy részét az intézmények működéséhez szükséges bér és járulékai teszi ki továbbra is, melynek összege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858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Ft. Az előző évhez képest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egy 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nagyobb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 emelkedés figyelhető meg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elsősorban a </w:t>
      </w:r>
      <w:r w:rsidR="00FA5F9D">
        <w:rPr>
          <w:rFonts w:ascii="Times New Roman" w:eastAsia="Times New Roman" w:hAnsi="Times New Roman" w:cs="Times New Roman"/>
          <w:color w:val="auto"/>
          <w:lang w:val="hu-HU"/>
        </w:rPr>
        <w:t>minimálbéremelkedés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, és 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 xml:space="preserve">2013. év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szeptembertől az óvoda miatti </w:t>
      </w:r>
      <w:proofErr w:type="gramStart"/>
      <w:r w:rsidR="00D8609D">
        <w:rPr>
          <w:rFonts w:ascii="Times New Roman" w:eastAsia="Times New Roman" w:hAnsi="Times New Roman" w:cs="Times New Roman"/>
          <w:color w:val="auto"/>
          <w:lang w:val="hu-HU"/>
        </w:rPr>
        <w:t>létszám emelkedés</w:t>
      </w:r>
      <w:proofErr w:type="gramEnd"/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 miatt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 xml:space="preserve">A Polgármester hivatalnál is a jogszabály miatti létszámemelkedés beépítésre került.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Az óvoda esetében 15 fővel emelkedik a létszám. </w:t>
      </w:r>
    </w:p>
    <w:p w:rsidR="0062784E" w:rsidRPr="00635E50" w:rsidRDefault="0062784E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működési és felhalmozási kiadásokat fő címenként a 3. számú melléklet tartalmazza. A kiadásokat intézményenként pedig a 4. számú melléklet tartalmazza.  </w:t>
      </w:r>
    </w:p>
    <w:p w:rsidR="00635E50" w:rsidRP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személyi juttatás tartalmazza, a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 xml:space="preserve">közfoglalkoztatottak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bérét is, amely összegeket az állami költségvetésből pályázat útján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>a munkaügyi központon keresztül kapjuk meg.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 a költségvetésünkbe be van építve.</w:t>
      </w:r>
    </w:p>
    <w:p w:rsidR="00635E50" w:rsidRPr="00635E50" w:rsidRDefault="0062784E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>A 4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sz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melléklet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e t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ájékoztató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t is tartalmaz 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az önkormányzat 201</w:t>
      </w:r>
      <w:r w:rsidR="00220277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évi költségvetés létszámadatainak változásához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, összehasonlítva az előző évvel.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Az önkormányzat létszámkerete az intézményi részletezés szerint összesen </w:t>
      </w:r>
      <w:r w:rsidR="00220277">
        <w:rPr>
          <w:rFonts w:ascii="Times New Roman" w:eastAsia="Times New Roman" w:hAnsi="Times New Roman" w:cs="Times New Roman"/>
          <w:bCs/>
          <w:color w:val="auto"/>
          <w:lang w:val="hu-HU"/>
        </w:rPr>
        <w:t>71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fő. </w:t>
      </w:r>
      <w:r w:rsidR="00220277">
        <w:rPr>
          <w:rFonts w:ascii="Times New Roman" w:eastAsia="Times New Roman" w:hAnsi="Times New Roman" w:cs="Times New Roman"/>
          <w:bCs/>
          <w:color w:val="auto"/>
          <w:lang w:val="hu-HU"/>
        </w:rPr>
        <w:t>A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z Óvoda átvétele miatt emelkedett az intézményi működési létszám. 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Közfoglalkoztatottak létszámát jogszabályi változások miatt jelenleg még nem tudjuk 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pontosan 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>tervezni.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 Várhatóan a tavalyi 1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 fő </w:t>
      </w:r>
      <w:r w:rsidR="00220277">
        <w:rPr>
          <w:rFonts w:ascii="Times New Roman" w:eastAsia="Times New Roman" w:hAnsi="Times New Roman" w:cs="Times New Roman"/>
          <w:color w:val="auto"/>
          <w:lang w:val="hu-HU"/>
        </w:rPr>
        <w:t>lesz biztosítva önkormányzatunknak</w:t>
      </w:r>
      <w:r w:rsidR="007A2395">
        <w:rPr>
          <w:rFonts w:ascii="Times New Roman" w:eastAsia="Times New Roman" w:hAnsi="Times New Roman" w:cs="Times New Roman"/>
          <w:color w:val="auto"/>
          <w:lang w:val="hu-HU"/>
        </w:rPr>
        <w:t xml:space="preserve"> továbbra is.</w:t>
      </w:r>
    </w:p>
    <w:p w:rsidR="00635E50" w:rsidRPr="00635E50" w:rsidRDefault="00635E50" w:rsidP="00635E50">
      <w:pPr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 w:rsidR="007A2395">
        <w:rPr>
          <w:rFonts w:ascii="Times New Roman" w:eastAsia="Times New Roman" w:hAnsi="Times New Roman" w:cs="Times New Roman"/>
          <w:color w:val="auto"/>
          <w:lang w:val="hu-HU"/>
        </w:rPr>
        <w:t>a 2013-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A2395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költségvetési elgondolásainak megtárgyalása során hozott Képviselő-testületi határozatban foglaltak, valamint az intézményeink részére meg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adott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tervezési útmutató alapján egységes szempontok szerint készültek el intézményeink költségvetés-tervezetei, melyekben részletesen kimunkálásra kerültek az intézmény-üzemeltetés költségigényei.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tervtárgyalások során az intézmények által kidolgozott tervszámok a jogos szükségletek és a reálisan figyelembe vehető lehetőségek alapján kisebb-nagyobb mértékben módosításra kerültek. Az egyeztetésekről jegyzőkönyvek készültek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, melyeket a pénzügyi bizottság részére is kiküldtünk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Minden intézményünknél elismerésre és beépítésre kerültek az elmúlt évben, illetve az ez év január 1-jétől bekövetkezett, vagy előírt feladatváltozások költségkihatásai.</w:t>
      </w:r>
    </w:p>
    <w:p w:rsidR="00635E50" w:rsidRPr="00635E50" w:rsidRDefault="00635E50" w:rsidP="00635E50">
      <w:pPr>
        <w:keepNext/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Így többek között:</w:t>
      </w:r>
    </w:p>
    <w:p w:rsidR="00635E50" w:rsidRPr="00635E50" w:rsidRDefault="00635E50" w:rsidP="00635E50">
      <w:p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-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>a munkáltatót terhelő bérfejlesztéssel összefüggő bérjárulék növekedések</w:t>
      </w:r>
    </w:p>
    <w:p w:rsidR="00635E50" w:rsidRPr="00635E50" w:rsidRDefault="00635E50" w:rsidP="00635E50">
      <w:pPr>
        <w:numPr>
          <w:ilvl w:val="0"/>
          <w:numId w:val="7"/>
        </w:num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központi támogatásból biztosított 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 xml:space="preserve">korrekciós kereset kiegészítés.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2012. január 01-től a helyi önkormányzatot és az önkormányzati (polgármesteri) hivatalt külön költségvetési egységként kell kezelni, külön költségvetést kell készíteni részére. </w:t>
      </w: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helyi önkormányzat költségvetését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5. számú melléklet tartalmazza, melynek részletes feladatonként dologi kiadásait a 5./A. számú melléklet részletezi.</w:t>
      </w:r>
    </w:p>
    <w:p w:rsid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 Polgármesteri </w:t>
      </w:r>
      <w:r w:rsidR="004A7CB6">
        <w:rPr>
          <w:rFonts w:ascii="Times New Roman" w:eastAsia="Times New Roman" w:hAnsi="Times New Roman" w:cs="Times New Roman"/>
          <w:color w:val="auto"/>
          <w:lang w:val="hu-HU"/>
        </w:rPr>
        <w:t xml:space="preserve">(Önkormányzati)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Hivatal költségvetésében (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melléklet) részletesen szerepeltetjük a szociális ellátásokról alkotott helyi rendeletünkben foglaltak szerinti ellátási formák várható szükségletei. Ez a 201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szociális juttatásoknál közel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00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</w:t>
      </w:r>
      <w:proofErr w:type="gram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Ft-tal</w:t>
      </w:r>
      <w:proofErr w:type="gram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egy kicsivel 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több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mint a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tervezettben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szereplő összeg.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Ez az összeg az önkormányzat gazdálkodásától függetlenül változhat. Az önkormányzattól 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 xml:space="preserve">a tavalyi évben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elkerült az időskorúak járadéka, ápolási díj megállapítás alanyi jogon és </w:t>
      </w:r>
      <w:proofErr w:type="spellStart"/>
      <w:r w:rsidR="00172D29">
        <w:rPr>
          <w:rFonts w:ascii="Times New Roman" w:eastAsia="Times New Roman" w:hAnsi="Times New Roman" w:cs="Times New Roman"/>
          <w:color w:val="auto"/>
          <w:lang w:val="hu-HU"/>
        </w:rPr>
        <w:t>közgyógy</w:t>
      </w:r>
      <w:proofErr w:type="spellEnd"/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megállapítás alanyi jogon. A méltányossági megállapítás ugyanúgy önkormányzati hatáskorban maradt.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intézményi működési kiadásokkal kapcsolatos számszaki előirányzatainkat intézményi részletezésben, valamint önkormányzati </w:t>
      </w:r>
      <w:proofErr w:type="spell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összesenben</w:t>
      </w:r>
      <w:proofErr w:type="spell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 táblázat szemlélteti, míg a Polgármesteri Hivatal részletes költségvetését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mellékleten mutatjuk be.</w:t>
      </w:r>
    </w:p>
    <w:p w:rsidR="00635E50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intézmények kiadásainak bemutatása: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</w:t>
      </w:r>
    </w:p>
    <w:p w:rsidR="005154B6" w:rsidRDefault="005B08B2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Községi </w:t>
      </w:r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Konyha és </w:t>
      </w:r>
      <w:proofErr w:type="gramStart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6./B. számú melléklet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Gondozási Központ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6./C. számú melléklet</w:t>
      </w:r>
    </w:p>
    <w:p w:rsidR="005154B6" w:rsidRP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Kastély</w:t>
      </w:r>
      <w:r w:rsidR="00C60AF2">
        <w:rPr>
          <w:rFonts w:ascii="Times New Roman" w:eastAsia="Times New Roman" w:hAnsi="Times New Roman" w:cs="Times New Roman"/>
          <w:color w:val="auto"/>
          <w:lang w:val="hu-HU"/>
        </w:rPr>
        <w:t>kert</w:t>
      </w: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Óvoda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6./D. számú melléklet</w:t>
      </w:r>
    </w:p>
    <w:p w:rsidR="00172D29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táblázatokban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találhatók. Ezen táblázatok bemutatását a jogszabály nem írja elő.</w:t>
      </w:r>
    </w:p>
    <w:p w:rsidR="00172D29" w:rsidRPr="00635E50" w:rsidRDefault="00172D29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Képviselő-testület az önkormányzati intézmények költségvetési támogatását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EF49CC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36</w:t>
      </w:r>
      <w:r w:rsidR="0035774A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ezer Ft-ban határozza meg a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számú melléklet szerinti részletezettségben.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 xml:space="preserve"> A tényleges önkormányzati hozzájárulás:</w:t>
      </w:r>
    </w:p>
    <w:p w:rsidR="005154B6" w:rsidRDefault="005B08B2" w:rsidP="005154B6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Községi</w:t>
      </w:r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Konyha és </w:t>
      </w:r>
      <w:proofErr w:type="gramStart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 w:rsidR="00EF49CC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485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 xml:space="preserve"> e Ft.</w:t>
      </w:r>
    </w:p>
    <w:p w:rsidR="005154B6" w:rsidRDefault="005154B6" w:rsidP="005154B6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Könyvtár és Művelődési ház kiadási </w:t>
      </w:r>
      <w:proofErr w:type="gramStart"/>
      <w:r w:rsidRPr="005154B6">
        <w:rPr>
          <w:rFonts w:ascii="Times New Roman" w:eastAsia="Times New Roman" w:hAnsi="Times New Roman" w:cs="Times New Roman"/>
          <w:color w:val="auto"/>
          <w:lang w:val="hu-HU"/>
        </w:rPr>
        <w:t>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 xml:space="preserve">  9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681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 Ft.</w:t>
      </w:r>
    </w:p>
    <w:p w:rsidR="001C54A4" w:rsidRDefault="001C54A4" w:rsidP="001C54A4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1C54A4">
        <w:rPr>
          <w:rFonts w:ascii="Times New Roman" w:eastAsia="Times New Roman" w:hAnsi="Times New Roman" w:cs="Times New Roman"/>
          <w:color w:val="auto"/>
          <w:lang w:val="hu-HU"/>
        </w:rPr>
        <w:t xml:space="preserve">Kastélykert </w:t>
      </w:r>
      <w:proofErr w:type="gramStart"/>
      <w:r w:rsidRPr="001C54A4">
        <w:rPr>
          <w:rFonts w:ascii="Times New Roman" w:eastAsia="Times New Roman" w:hAnsi="Times New Roman" w:cs="Times New Roman"/>
          <w:color w:val="auto"/>
          <w:lang w:val="hu-HU"/>
        </w:rPr>
        <w:t>Óvoda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2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.198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</w:p>
    <w:p w:rsidR="005154B6" w:rsidRPr="005154B6" w:rsidRDefault="005154B6" w:rsidP="005154B6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Gondozási Központ kiadási </w:t>
      </w:r>
      <w:proofErr w:type="gramStart"/>
      <w:r w:rsidRPr="005154B6">
        <w:rPr>
          <w:rFonts w:ascii="Times New Roman" w:eastAsia="Times New Roman" w:hAnsi="Times New Roman" w:cs="Times New Roman"/>
          <w:color w:val="auto"/>
          <w:lang w:val="hu-HU"/>
        </w:rPr>
        <w:t>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925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 Ft.</w:t>
      </w:r>
    </w:p>
    <w:p w:rsidR="005154B6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507496" w:rsidRDefault="004D6B6A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előirányzataiban szereplő közösségi rendezvények költségvetésének felosztását az alábbi táblázat szemlélteti: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758"/>
        <w:gridCol w:w="3238"/>
        <w:gridCol w:w="1440"/>
        <w:gridCol w:w="1260"/>
      </w:tblGrid>
      <w:tr w:rsidR="00C531E0" w:rsidRPr="00C531E0" w:rsidTr="00C531E0">
        <w:trPr>
          <w:trHeight w:val="85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proofErr w:type="spellStart"/>
            <w:r w:rsidRPr="00C531E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S.sz</w:t>
            </w:r>
            <w:proofErr w:type="spellEnd"/>
            <w:r w:rsidRPr="00C531E0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.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Időpont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Rendezvény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  <w:t>Helyszín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u-HU"/>
              </w:rPr>
              <w:t>Tervezett összeg</w:t>
            </w:r>
          </w:p>
        </w:tc>
      </w:tr>
      <w:tr w:rsidR="00C531E0" w:rsidRPr="00C531E0" w:rsidTr="00C531E0">
        <w:trPr>
          <w:trHeight w:val="58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március 15. 18 óra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Március 15-ei községi ünnepség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Kazinczy Ferenc</w:t>
            </w: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br/>
              <w:t>Ált. Isk. aulája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 20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5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május 01.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Községi majális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Tűzoltó szertár, Strandkert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300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május 25 (Vasárnap)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Hősök Napi megemlékezés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templomkert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 20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6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4.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június 01. 18 óra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Trianoni megemlékezés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Millenniumi emlékmű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200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5.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június 22.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Varga József Matematikai díj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Iskola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 30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9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június 26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Falunap – szabadtéri ünnep megeml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é</w:t>
            </w:r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kezés II. János Pál páról,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Kucza</w:t>
            </w:r>
            <w:proofErr w:type="spellEnd"/>
            <w:r w:rsidRPr="00C531E0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 Péter és Bihari József könyv bemutatója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Faluház előtti terület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2 200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7.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július 27.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Szent Anna napi búcsú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Vásártér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100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8.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2014. augusztus 20.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Szent István Napi megemlékezés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Millenniumi emlékmű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20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9.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2014. szeptember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I. Világháborús megemlékezés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400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lastRenderedPageBreak/>
              <w:t>10.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2014.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szeptemeber</w:t>
            </w:r>
            <w:proofErr w:type="spellEnd"/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27.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Nyugdíjas nap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Faluház nagyterme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10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11.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2013.10.23 (csütörtök)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Október 23-ra emlékezünk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Faluház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15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12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12.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2013. december 20.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Karácsonyváró műsor, Tápiógyörgyei Ifjúsági Fúvószenekar karácsonyi koncertje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>Faluház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C531E0">
              <w:rPr>
                <w:rFonts w:ascii="Times New Roman" w:eastAsia="Times New Roman" w:hAnsi="Times New Roman" w:cs="Times New Roman"/>
                <w:lang w:val="hu-HU"/>
              </w:rPr>
              <w:t xml:space="preserve">       15 </w:t>
            </w:r>
            <w:proofErr w:type="spellStart"/>
            <w:r w:rsidRPr="00C531E0">
              <w:rPr>
                <w:rFonts w:ascii="Times New Roman" w:eastAsia="Times New Roman" w:hAnsi="Times New Roman" w:cs="Times New Roman"/>
                <w:lang w:val="hu-HU"/>
              </w:rPr>
              <w:t>eFt</w:t>
            </w:r>
            <w:proofErr w:type="spellEnd"/>
          </w:p>
        </w:tc>
      </w:tr>
      <w:tr w:rsidR="00C531E0" w:rsidRPr="00C531E0" w:rsidTr="00C531E0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1E0" w:rsidRPr="00C531E0" w:rsidRDefault="00C531E0" w:rsidP="00C531E0">
            <w:pPr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</w:pPr>
            <w:r w:rsidRPr="00C531E0"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  <w:t xml:space="preserve">     3 330 </w:t>
            </w:r>
            <w:proofErr w:type="spellStart"/>
            <w:r w:rsidRPr="00C531E0">
              <w:rPr>
                <w:rFonts w:ascii="Calibri" w:eastAsia="Times New Roman" w:hAnsi="Calibri" w:cs="Times New Roman"/>
                <w:sz w:val="22"/>
                <w:szCs w:val="22"/>
                <w:lang w:val="hu-HU"/>
              </w:rPr>
              <w:t>eFt</w:t>
            </w:r>
            <w:proofErr w:type="spellEnd"/>
          </w:p>
        </w:tc>
      </w:tr>
    </w:tbl>
    <w:p w:rsidR="00C531E0" w:rsidRDefault="00C531E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74902" w:rsidRDefault="001C54A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B</w:t>
      </w:r>
      <w:r w:rsidR="00A35841">
        <w:rPr>
          <w:rFonts w:ascii="Times New Roman" w:eastAsia="Times New Roman" w:hAnsi="Times New Roman" w:cs="Times New Roman"/>
          <w:color w:val="auto"/>
          <w:lang w:val="hu-HU"/>
        </w:rPr>
        <w:t xml:space="preserve">eépítésre került a </w:t>
      </w:r>
      <w:r>
        <w:rPr>
          <w:rFonts w:ascii="Times New Roman" w:eastAsia="Times New Roman" w:hAnsi="Times New Roman" w:cs="Times New Roman"/>
          <w:color w:val="auto"/>
          <w:lang w:val="hu-HU"/>
        </w:rPr>
        <w:t>II. János Pál Pápa</w:t>
      </w:r>
      <w:r w:rsidR="00A35841">
        <w:rPr>
          <w:rFonts w:ascii="Times New Roman" w:eastAsia="Times New Roman" w:hAnsi="Times New Roman" w:cs="Times New Roman"/>
          <w:color w:val="auto"/>
          <w:lang w:val="hu-HU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megemlékezéséről szóló rendezvény is </w:t>
      </w:r>
      <w:r w:rsidR="00174902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174902"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</w:t>
      </w:r>
      <w:r w:rsidR="00174902">
        <w:rPr>
          <w:rFonts w:ascii="Times New Roman" w:eastAsia="Times New Roman" w:hAnsi="Times New Roman" w:cs="Times New Roman"/>
          <w:color w:val="auto"/>
          <w:lang w:val="hu-HU"/>
        </w:rPr>
        <w:t xml:space="preserve"> rendezvénytervében. </w:t>
      </w:r>
    </w:p>
    <w:p w:rsidR="0029618C" w:rsidRDefault="00174902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Továbbá</w:t>
      </w:r>
      <w:r w:rsidR="00A35841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beépítésre került </w:t>
      </w:r>
      <w:r w:rsidR="00E86D82">
        <w:rPr>
          <w:rFonts w:ascii="Times New Roman" w:eastAsia="Times New Roman" w:hAnsi="Times New Roman" w:cs="Times New Roman"/>
          <w:color w:val="auto"/>
          <w:lang w:val="hu-HU"/>
        </w:rPr>
        <w:t xml:space="preserve">az idei évben elfogadott határozatok alapján az </w:t>
      </w:r>
      <w:proofErr w:type="spellStart"/>
      <w:r w:rsidR="00E86D82">
        <w:rPr>
          <w:rFonts w:ascii="Times New Roman" w:eastAsia="Times New Roman" w:hAnsi="Times New Roman" w:cs="Times New Roman"/>
          <w:color w:val="auto"/>
          <w:lang w:val="hu-HU"/>
        </w:rPr>
        <w:t>ebrendész</w:t>
      </w:r>
      <w:proofErr w:type="spellEnd"/>
      <w:r w:rsidR="00E86D82">
        <w:rPr>
          <w:rFonts w:ascii="Times New Roman" w:eastAsia="Times New Roman" w:hAnsi="Times New Roman" w:cs="Times New Roman"/>
          <w:color w:val="auto"/>
          <w:lang w:val="hu-HU"/>
        </w:rPr>
        <w:t xml:space="preserve"> díja 11 hónapra 715.000 Ft. </w:t>
      </w:r>
      <w:proofErr w:type="gramStart"/>
      <w:r w:rsidR="00E86D82">
        <w:rPr>
          <w:rFonts w:ascii="Times New Roman" w:eastAsia="Times New Roman" w:hAnsi="Times New Roman" w:cs="Times New Roman"/>
          <w:color w:val="auto"/>
          <w:lang w:val="hu-HU"/>
        </w:rPr>
        <w:t>értékben</w:t>
      </w:r>
      <w:proofErr w:type="gramEnd"/>
      <w:r w:rsidR="00E86D82">
        <w:rPr>
          <w:rFonts w:ascii="Times New Roman" w:eastAsia="Times New Roman" w:hAnsi="Times New Roman" w:cs="Times New Roman"/>
          <w:color w:val="auto"/>
          <w:lang w:val="hu-HU"/>
        </w:rPr>
        <w:t xml:space="preserve"> (65.000 Ft x 11 hó) </w:t>
      </w:r>
      <w:r w:rsidR="0029618C">
        <w:rPr>
          <w:rFonts w:ascii="Times New Roman" w:eastAsia="Times New Roman" w:hAnsi="Times New Roman" w:cs="Times New Roman"/>
          <w:color w:val="auto"/>
          <w:lang w:val="hu-HU"/>
        </w:rPr>
        <w:t>az összeg az önkormányzat vásárolt szolgáltatásait (</w:t>
      </w:r>
      <w:r w:rsidR="003C0FDF">
        <w:rPr>
          <w:rFonts w:ascii="Times New Roman" w:eastAsia="Times New Roman" w:hAnsi="Times New Roman" w:cs="Times New Roman"/>
          <w:color w:val="auto"/>
          <w:lang w:val="hu-HU"/>
        </w:rPr>
        <w:t>18. sor</w:t>
      </w:r>
      <w:r w:rsidR="0029618C">
        <w:rPr>
          <w:rFonts w:ascii="Times New Roman" w:eastAsia="Times New Roman" w:hAnsi="Times New Roman" w:cs="Times New Roman"/>
          <w:color w:val="auto"/>
          <w:lang w:val="hu-HU"/>
        </w:rPr>
        <w:t xml:space="preserve">) emelte meg a településüzemeltetési soron. </w:t>
      </w:r>
    </w:p>
    <w:p w:rsidR="0029618C" w:rsidRDefault="0029618C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fentebb felsorolt</w:t>
      </w:r>
      <w:r w:rsidR="00C41C43">
        <w:rPr>
          <w:rFonts w:ascii="Times New Roman" w:eastAsia="Times New Roman" w:hAnsi="Times New Roman" w:cs="Times New Roman"/>
          <w:color w:val="auto"/>
          <w:lang w:val="hu-HU"/>
        </w:rPr>
        <w:t>ak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C41C43">
        <w:rPr>
          <w:rFonts w:ascii="Times New Roman" w:eastAsia="Times New Roman" w:hAnsi="Times New Roman" w:cs="Times New Roman"/>
          <w:color w:val="auto"/>
          <w:lang w:val="hu-HU"/>
        </w:rPr>
        <w:t>tételek az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önkormányzatnál megjelenő ÁFA</w:t>
      </w:r>
      <w:r w:rsidR="00C41C43">
        <w:rPr>
          <w:rFonts w:ascii="Times New Roman" w:eastAsia="Times New Roman" w:hAnsi="Times New Roman" w:cs="Times New Roman"/>
          <w:color w:val="auto"/>
          <w:lang w:val="hu-HU"/>
        </w:rPr>
        <w:t xml:space="preserve"> összegét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is megemelte.</w:t>
      </w:r>
    </w:p>
    <w:p w:rsidR="00304DC3" w:rsidRDefault="00195F7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bevételi oldalon a módosító tételek a hiányt tovább növelték 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és a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várható támogatások közzé betervez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ett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összeget, a 201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. évi költségvetési törvény 4. számú melléklet 1./IV. –</w:t>
      </w:r>
      <w:proofErr w:type="spellStart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ben</w:t>
      </w:r>
      <w:proofErr w:type="spellEnd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 xml:space="preserve"> meghatározott 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r w:rsidR="00000EEA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helyi önkormányzatok működőképessége megőrzését szolgáló kiegészítő támogatásra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”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 xml:space="preserve"> vonatkozóan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824</w:t>
      </w:r>
      <w:r w:rsidR="00AB6DD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B6DD0">
        <w:rPr>
          <w:rFonts w:ascii="Times New Roman" w:eastAsia="Times New Roman" w:hAnsi="Times New Roman" w:cs="Times New Roman"/>
          <w:color w:val="auto"/>
          <w:lang w:val="hu-HU"/>
        </w:rPr>
        <w:t>e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>Ft</w:t>
      </w:r>
      <w:proofErr w:type="spellEnd"/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 összegre</w:t>
      </w:r>
      <w:r w:rsidR="00AA0B8C">
        <w:rPr>
          <w:rFonts w:ascii="Times New Roman" w:eastAsia="Times New Roman" w:hAnsi="Times New Roman" w:cs="Times New Roman"/>
          <w:color w:val="auto"/>
          <w:lang w:val="hu-HU"/>
        </w:rPr>
        <w:t xml:space="preserve"> módosult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9958AF" w:rsidRDefault="009958AF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67771" w:rsidRPr="00CC183E" w:rsidRDefault="00D177B4" w:rsidP="00B67771">
      <w:pPr>
        <w:jc w:val="both"/>
        <w:rPr>
          <w:rFonts w:ascii="Garamond" w:eastAsia="Times New Roman" w:hAnsi="Garamond" w:cs="Times New Roman"/>
          <w:b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tavalyi évben is volt már hiánya az önkormányzatnak. Ezt az ide évben tovább növeli a tavalyi évben jogerősen pert nyert Állvány Kft. követelése közel 50.000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eFt.-tal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Hiányzanak az idei évi beruházások költségvetési fedezetei, tavalyi évben pályázati eszközök voltak rá. Ez 2</w:t>
      </w:r>
      <w:r w:rsidR="00B67771">
        <w:rPr>
          <w:rFonts w:ascii="Times New Roman" w:eastAsia="Times New Roman" w:hAnsi="Times New Roman" w:cs="Times New Roman"/>
          <w:color w:val="auto"/>
          <w:lang w:val="hu-HU"/>
        </w:rPr>
        <w:t>1</w:t>
      </w:r>
      <w:r>
        <w:rPr>
          <w:rFonts w:ascii="Times New Roman" w:eastAsia="Times New Roman" w:hAnsi="Times New Roman" w:cs="Times New Roman"/>
          <w:color w:val="auto"/>
          <w:lang w:val="hu-HU"/>
        </w:rPr>
        <w:t>.8</w:t>
      </w:r>
      <w:r w:rsidR="00B67771">
        <w:rPr>
          <w:rFonts w:ascii="Times New Roman" w:eastAsia="Times New Roman" w:hAnsi="Times New Roman" w:cs="Times New Roman"/>
          <w:color w:val="auto"/>
          <w:lang w:val="hu-HU"/>
        </w:rPr>
        <w:t>11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 összeg. További problémát jelent a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>z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étkeztetés finanszírozásának csökkenése 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 xml:space="preserve">12.000 </w:t>
      </w:r>
      <w:proofErr w:type="spellStart"/>
      <w:r w:rsidR="003E2F2B">
        <w:rPr>
          <w:rFonts w:ascii="Times New Roman" w:eastAsia="Times New Roman" w:hAnsi="Times New Roman" w:cs="Times New Roman"/>
          <w:color w:val="auto"/>
          <w:lang w:val="hu-HU"/>
        </w:rPr>
        <w:t>e</w:t>
      </w:r>
      <w:r>
        <w:rPr>
          <w:rFonts w:ascii="Times New Roman" w:eastAsia="Times New Roman" w:hAnsi="Times New Roman" w:cs="Times New Roman"/>
          <w:color w:val="auto"/>
          <w:lang w:val="hu-HU"/>
        </w:rPr>
        <w:t>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 xml:space="preserve"> és a rezsi finanszírozás intézményi kiesése 21.135 e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>Ft.</w:t>
      </w:r>
      <w:r w:rsidR="00CC183E">
        <w:rPr>
          <w:rFonts w:ascii="Times New Roman" w:eastAsia="Times New Roman" w:hAnsi="Times New Roman" w:cs="Times New Roman"/>
          <w:color w:val="auto"/>
          <w:lang w:val="hu-HU"/>
        </w:rPr>
        <w:t xml:space="preserve"> és </w:t>
      </w:r>
      <w:proofErr w:type="gramStart"/>
      <w:r w:rsidR="00CC183E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CC183E">
        <w:rPr>
          <w:rFonts w:ascii="Times New Roman" w:eastAsia="Times New Roman" w:hAnsi="Times New Roman" w:cs="Times New Roman"/>
          <w:color w:val="auto"/>
          <w:lang w:val="hu-HU"/>
        </w:rPr>
        <w:t xml:space="preserve"> orvosok támogatása 3.840 </w:t>
      </w:r>
      <w:proofErr w:type="spellStart"/>
      <w:r w:rsidR="00CC183E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CC183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 xml:space="preserve"> összegben. Ezen összegek összesen: 11</w:t>
      </w:r>
      <w:r w:rsidR="00CC183E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CC183E">
        <w:rPr>
          <w:rFonts w:ascii="Times New Roman" w:eastAsia="Times New Roman" w:hAnsi="Times New Roman" w:cs="Times New Roman"/>
          <w:color w:val="auto"/>
          <w:lang w:val="hu-HU"/>
        </w:rPr>
        <w:t>66</w:t>
      </w:r>
      <w:r w:rsidR="003E2F2B">
        <w:rPr>
          <w:rFonts w:ascii="Times New Roman" w:eastAsia="Times New Roman" w:hAnsi="Times New Roman" w:cs="Times New Roman"/>
          <w:color w:val="auto"/>
          <w:lang w:val="hu-HU"/>
        </w:rPr>
        <w:t xml:space="preserve">0 </w:t>
      </w:r>
      <w:proofErr w:type="spellStart"/>
      <w:r w:rsidR="003E2F2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3E2F2B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Az idei tervezett hiányból levonva ezt az összesített összeget </w:t>
      </w:r>
      <w:r w:rsidR="00CC183E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19</w:t>
      </w:r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CC183E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038</w:t>
      </w:r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. kapunk. A tavalyi évben ez az összeg 17.626 </w:t>
      </w:r>
      <w:proofErr w:type="spellStart"/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3E2F2B" w:rsidRPr="00CC183E">
        <w:rPr>
          <w:rFonts w:ascii="Times New Roman" w:eastAsia="Times New Roman" w:hAnsi="Times New Roman" w:cs="Times New Roman"/>
          <w:b/>
          <w:color w:val="auto"/>
          <w:lang w:val="hu-HU"/>
        </w:rPr>
        <w:t>. volt.</w:t>
      </w:r>
      <w:r w:rsidR="00B67771" w:rsidRPr="00CC183E">
        <w:rPr>
          <w:rFonts w:ascii="Garamond" w:eastAsia="Times New Roman" w:hAnsi="Garamond" w:cs="Times New Roman"/>
          <w:b/>
          <w:color w:val="auto"/>
          <w:lang w:val="hu-HU"/>
        </w:rPr>
        <w:t xml:space="preserve"> </w:t>
      </w:r>
    </w:p>
    <w:p w:rsidR="00D177B4" w:rsidRDefault="00D177B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kiadások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szinten felhalmozási kiadásként javasolt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063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 összegű előirányzatunk közvetlenül megjelenik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a helyi önkormányzat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költségvetési kiadásai között. A 201</w:t>
      </w:r>
      <w:r w:rsidR="001C54A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évben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 xml:space="preserve">előre láthatólag 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egy minimálisan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 xml:space="preserve">kevesebb beruházás történik az </w:t>
      </w:r>
      <w:proofErr w:type="gramStart"/>
      <w:r w:rsidR="00040B1D">
        <w:rPr>
          <w:rFonts w:ascii="Times New Roman" w:eastAsia="Times New Roman" w:hAnsi="Times New Roman" w:cs="Times New Roman"/>
          <w:color w:val="auto"/>
          <w:lang w:val="hu-HU"/>
        </w:rPr>
        <w:t>önkormányzatnál</w:t>
      </w:r>
      <w:proofErr w:type="gramEnd"/>
      <w:r w:rsidR="00040B1D">
        <w:rPr>
          <w:rFonts w:ascii="Times New Roman" w:eastAsia="Times New Roman" w:hAnsi="Times New Roman" w:cs="Times New Roman"/>
          <w:color w:val="auto"/>
          <w:lang w:val="hu-HU"/>
        </w:rPr>
        <w:t xml:space="preserve"> mint az előző évi tervezett, de az előző évi tervezetben sem valósult meg a strand beruházás, melyet így figyelembe véve a 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. évi tényleges beruházást várhatóan meghaladja a 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. évi.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 Itt figyelembe kell venni, hogy a </w:t>
      </w:r>
      <w:r w:rsidR="00740B42" w:rsidRPr="00740B42">
        <w:rPr>
          <w:rFonts w:ascii="Times New Roman" w:eastAsia="Times New Roman" w:hAnsi="Times New Roman" w:cs="Times New Roman"/>
          <w:color w:val="auto"/>
          <w:lang w:val="hu-HU"/>
        </w:rPr>
        <w:t>felhalmozási célú kölcsön vissz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740B42" w:rsidRPr="00740B42">
        <w:rPr>
          <w:rFonts w:ascii="Times New Roman" w:eastAsia="Times New Roman" w:hAnsi="Times New Roman" w:cs="Times New Roman"/>
          <w:color w:val="auto"/>
          <w:lang w:val="hu-HU"/>
        </w:rPr>
        <w:t>fizetése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 21.000 </w:t>
      </w:r>
      <w:proofErr w:type="spellStart"/>
      <w:r w:rsidR="00740B42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 összeggel megjelenik a beruházásoknál. Ez a tavalyi strand beruházás áthozódó tétele, a bevételi oldalon is beépítésre került.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Jelenleg nincs betervezve nagyobb f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>elújítási feladat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, de ezek bekövetkezésére azért számítani kell. 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Több kisebb beruházás van beépítve, melyekről már a testület döntött pl. az orvosi rendelő akadály </w:t>
      </w:r>
      <w:proofErr w:type="gramStart"/>
      <w:r w:rsidR="00740B42">
        <w:rPr>
          <w:rFonts w:ascii="Times New Roman" w:eastAsia="Times New Roman" w:hAnsi="Times New Roman" w:cs="Times New Roman"/>
          <w:color w:val="auto"/>
          <w:lang w:val="hu-HU"/>
        </w:rPr>
        <w:t>mentesítése</w:t>
      </w:r>
      <w:proofErr w:type="gramEnd"/>
      <w:r w:rsidR="00740B42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Éppen ezen okból az önkormányzat jelenleg 4.000 Ft.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működési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tartalékkal rendelkezik, melyet az 5. számú melléklet 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 xml:space="preserve">IX. része </w:t>
      </w:r>
      <w:r>
        <w:rPr>
          <w:rFonts w:ascii="Times New Roman" w:eastAsia="Times New Roman" w:hAnsi="Times New Roman" w:cs="Times New Roman"/>
          <w:color w:val="auto"/>
          <w:lang w:val="hu-HU"/>
        </w:rPr>
        <w:t>tartalmaz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>za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Önkormányzatunk feladatonkénti felhalmozási kiadásait 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7.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sz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mellékletünkön mutatjuk be.</w:t>
      </w:r>
    </w:p>
    <w:p w:rsidR="00B67771" w:rsidRDefault="00B67771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táblázatban az Önkormányzatnál 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kerülnek bemutatásra.</w:t>
      </w:r>
    </w:p>
    <w:p w:rsidR="008579E6" w:rsidRPr="00635E50" w:rsidRDefault="00CF6C8B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9. számú táblázat azokat a beruházásokat tartalmazza melyekhez a </w:t>
      </w:r>
      <w:r w:rsidRPr="00CF6C8B">
        <w:rPr>
          <w:sz w:val="24"/>
          <w:szCs w:val="24"/>
        </w:rPr>
        <w:t>Stabilitási tv.</w:t>
      </w:r>
      <w:r w:rsidR="006F2585" w:rsidRPr="006F2585">
        <w:rPr>
          <w:sz w:val="24"/>
          <w:szCs w:val="24"/>
        </w:rPr>
        <w:t xml:space="preserve"> </w:t>
      </w:r>
      <w:r w:rsidR="006F2585">
        <w:rPr>
          <w:sz w:val="24"/>
          <w:szCs w:val="24"/>
        </w:rPr>
        <w:t>(</w:t>
      </w:r>
      <w:r w:rsidR="006F2585" w:rsidRPr="006F2585">
        <w:rPr>
          <w:sz w:val="24"/>
          <w:szCs w:val="24"/>
        </w:rPr>
        <w:t>Magyarország gazdasági stabilitásáról 2011. évi CXCIV. törvény</w:t>
      </w:r>
      <w:r w:rsidR="006F2585">
        <w:rPr>
          <w:sz w:val="24"/>
          <w:szCs w:val="24"/>
        </w:rPr>
        <w:t>)</w:t>
      </w:r>
      <w:r w:rsidRPr="00CF6C8B">
        <w:rPr>
          <w:sz w:val="24"/>
          <w:szCs w:val="24"/>
        </w:rPr>
        <w:t xml:space="preserve"> 3. § (1) bekezdése</w:t>
      </w:r>
      <w:r>
        <w:rPr>
          <w:sz w:val="24"/>
          <w:szCs w:val="24"/>
        </w:rPr>
        <w:t xml:space="preserve"> </w:t>
      </w:r>
      <w:r w:rsidRPr="00CF6C8B">
        <w:rPr>
          <w:sz w:val="24"/>
          <w:szCs w:val="24"/>
        </w:rPr>
        <w:lastRenderedPageBreak/>
        <w:t>szerinti adósságot keletkeztető ügylet megkötése válik vagy válhat szükségessé</w:t>
      </w:r>
      <w:r>
        <w:rPr>
          <w:sz w:val="24"/>
          <w:szCs w:val="24"/>
        </w:rPr>
        <w:t xml:space="preserve"> a 201</w:t>
      </w:r>
      <w:r w:rsidR="00740B42">
        <w:rPr>
          <w:sz w:val="24"/>
          <w:szCs w:val="24"/>
        </w:rPr>
        <w:t>4</w:t>
      </w:r>
      <w:r>
        <w:rPr>
          <w:sz w:val="24"/>
          <w:szCs w:val="24"/>
        </w:rPr>
        <w:t>. év folyamán. Ez nem azt jelenti, hogy ezt a szerződést köteles az önkormányzat megkötni, csak lehetőséget tartalmaz.</w:t>
      </w:r>
    </w:p>
    <w:p w:rsidR="006F2585" w:rsidRDefault="006F2585" w:rsidP="00C52F14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8579E6" w:rsidRPr="00635E50" w:rsidRDefault="00EE073E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11. számú táblázat </w:t>
      </w:r>
      <w:r w:rsidR="00A504F8" w:rsidRPr="00A504F8">
        <w:rPr>
          <w:sz w:val="24"/>
          <w:szCs w:val="24"/>
        </w:rPr>
        <w:t>az adósságot keletkeztető ügyletekhez történő hozzájárulás részletes szabályairól</w:t>
      </w:r>
      <w:r w:rsidR="00A504F8">
        <w:rPr>
          <w:sz w:val="24"/>
          <w:szCs w:val="24"/>
        </w:rPr>
        <w:t xml:space="preserve"> szóló </w:t>
      </w:r>
      <w:r w:rsidR="00A504F8" w:rsidRPr="00A504F8">
        <w:rPr>
          <w:sz w:val="24"/>
          <w:szCs w:val="24"/>
        </w:rPr>
        <w:t>353/2011. (XII. 30.) Korm. rendelet</w:t>
      </w:r>
      <w:r w:rsidR="00A504F8">
        <w:rPr>
          <w:sz w:val="24"/>
          <w:szCs w:val="24"/>
        </w:rPr>
        <w:t xml:space="preserve"> alapján az </w:t>
      </w:r>
      <w:r w:rsidR="00A504F8" w:rsidRPr="00EE073E">
        <w:rPr>
          <w:sz w:val="24"/>
          <w:szCs w:val="24"/>
        </w:rPr>
        <w:t>adósságot keletkeztető ügyletekből és kezességvállalásokból fennálló kötelezettségeinek</w:t>
      </w:r>
      <w:r w:rsidR="00A504F8">
        <w:rPr>
          <w:sz w:val="24"/>
          <w:szCs w:val="24"/>
        </w:rPr>
        <w:t xml:space="preserve"> meghatározásához a saját bevételek alakulását is be kell mutatni az önkormányzatnak.</w:t>
      </w:r>
    </w:p>
    <w:p w:rsidR="008579E6" w:rsidRDefault="00C55E9D" w:rsidP="00635E50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12. számú melléklet tartalmazza Tápiógyörgye önkormányzat 201</w:t>
      </w:r>
      <w:r w:rsidR="00740B42">
        <w:rPr>
          <w:sz w:val="24"/>
          <w:szCs w:val="24"/>
        </w:rPr>
        <w:t>4</w:t>
      </w:r>
      <w:r>
        <w:rPr>
          <w:sz w:val="24"/>
          <w:szCs w:val="24"/>
        </w:rPr>
        <w:t xml:space="preserve">. évi számviteli mérlegét. </w:t>
      </w:r>
    </w:p>
    <w:p w:rsid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13. számú melléklet </w:t>
      </w:r>
      <w:r w:rsidRPr="00C55E9D">
        <w:rPr>
          <w:sz w:val="24"/>
          <w:szCs w:val="24"/>
        </w:rPr>
        <w:t>Tápiógyörgye Községi Önkormányzat által adott közvetett támogatások</w:t>
      </w:r>
      <w:r>
        <w:rPr>
          <w:sz w:val="24"/>
          <w:szCs w:val="24"/>
        </w:rPr>
        <w:t xml:space="preserve">at mutatja be. </w:t>
      </w:r>
    </w:p>
    <w:p w:rsidR="00C55E9D" w:rsidRP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i/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Ámr</w:t>
      </w:r>
      <w:proofErr w:type="spellEnd"/>
      <w:r>
        <w:rPr>
          <w:sz w:val="24"/>
          <w:szCs w:val="24"/>
        </w:rPr>
        <w:t xml:space="preserve">. </w:t>
      </w:r>
      <w:r w:rsidRPr="00C55E9D">
        <w:rPr>
          <w:sz w:val="24"/>
          <w:szCs w:val="24"/>
        </w:rPr>
        <w:t xml:space="preserve">28. § </w:t>
      </w:r>
      <w:r>
        <w:rPr>
          <w:sz w:val="24"/>
          <w:szCs w:val="24"/>
        </w:rPr>
        <w:t>alapján „</w:t>
      </w:r>
      <w:r w:rsidRPr="00C55E9D">
        <w:rPr>
          <w:i/>
          <w:sz w:val="24"/>
          <w:szCs w:val="24"/>
        </w:rPr>
        <w:t xml:space="preserve">Az Áht. 24. § (4) bekezdés c) pontja szerinti közvetett támogatásokat legalább az alábbi részletezettségben kell bemutatni: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a</w:t>
      </w:r>
      <w:proofErr w:type="gramEnd"/>
      <w:r w:rsidRPr="00C55E9D">
        <w:rPr>
          <w:i/>
          <w:sz w:val="24"/>
          <w:szCs w:val="24"/>
        </w:rPr>
        <w:t xml:space="preserve">) az ellátottak térítési díjának, kártérítésének méltányossági alapon történő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b) a lakosság részére lakásépítéshez, lakásfelújításhoz nyújtott kölcsönök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c) a helyi adónál, gépjárműadónál biztosított kedvezmény, mentesség összege adónemenként,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d) a helyiségek, eszközök hasznosításából származó bevételből nyújtott kedvezmény, mentesség összege, és </w:t>
      </w:r>
    </w:p>
    <w:p w:rsidR="00A504F8" w:rsidRPr="00C55E9D" w:rsidRDefault="00C55E9D" w:rsidP="00C55E9D">
      <w:pPr>
        <w:pStyle w:val="Szvegtrzs1"/>
        <w:shd w:val="clear" w:color="auto" w:fill="auto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e</w:t>
      </w:r>
      <w:proofErr w:type="gramEnd"/>
      <w:r w:rsidRPr="00C55E9D">
        <w:rPr>
          <w:i/>
          <w:sz w:val="24"/>
          <w:szCs w:val="24"/>
        </w:rPr>
        <w:t>) az egyéb nyújtott kedvezmény vagy kölcsön elengedésének összege.”</w:t>
      </w:r>
    </w:p>
    <w:p w:rsidR="003C1E65" w:rsidRPr="003C1E65" w:rsidRDefault="003C1E65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14.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többéves elkötelezettségeit mutatja be. Jelenleg már csak a fénymásoló lízing díja van, mely várhatóan </w:t>
      </w:r>
      <w:proofErr w:type="gramStart"/>
      <w:r>
        <w:rPr>
          <w:sz w:val="24"/>
          <w:szCs w:val="24"/>
        </w:rPr>
        <w:t>201</w:t>
      </w:r>
      <w:r w:rsidR="00740B4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40B42">
        <w:rPr>
          <w:sz w:val="24"/>
          <w:szCs w:val="24"/>
        </w:rPr>
        <w:t>márciusában</w:t>
      </w:r>
      <w:proofErr w:type="gramEnd"/>
      <w:r w:rsidR="00740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kifut. A kimutatás az Áht. </w:t>
      </w:r>
      <w:r w:rsidRPr="003C1E65">
        <w:rPr>
          <w:sz w:val="24"/>
          <w:szCs w:val="24"/>
        </w:rPr>
        <w:t xml:space="preserve">24. § </w:t>
      </w:r>
      <w:r>
        <w:rPr>
          <w:sz w:val="24"/>
          <w:szCs w:val="24"/>
        </w:rPr>
        <w:t>alapján készült el.</w:t>
      </w:r>
    </w:p>
    <w:p w:rsidR="003C1E65" w:rsidRPr="003C1E65" w:rsidRDefault="003C1E65" w:rsidP="003C1E65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3C1E65">
        <w:rPr>
          <w:i/>
          <w:sz w:val="24"/>
          <w:szCs w:val="24"/>
        </w:rPr>
        <w:t xml:space="preserve">„(4) A költségvetés előterjesztésekor a képviselő-testület részére tájékoztatásul a következő mérlegeket és kimutatásokat kell – szöveges indokolással együtt – bemutatni: 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proofErr w:type="gramStart"/>
      <w:r w:rsidRPr="003C1E65">
        <w:rPr>
          <w:i/>
          <w:sz w:val="24"/>
          <w:szCs w:val="24"/>
        </w:rPr>
        <w:t>a</w:t>
      </w:r>
      <w:proofErr w:type="gramEnd"/>
      <w:r w:rsidRPr="003C1E65">
        <w:rPr>
          <w:i/>
          <w:sz w:val="24"/>
          <w:szCs w:val="24"/>
        </w:rPr>
        <w:t xml:space="preserve">) </w:t>
      </w:r>
      <w:proofErr w:type="spellStart"/>
      <w:r w:rsidRPr="003C1E65">
        <w:rPr>
          <w:i/>
          <w:sz w:val="24"/>
          <w:szCs w:val="24"/>
        </w:rPr>
        <w:t>a</w:t>
      </w:r>
      <w:proofErr w:type="spellEnd"/>
      <w:r w:rsidRPr="003C1E65">
        <w:rPr>
          <w:i/>
          <w:sz w:val="24"/>
          <w:szCs w:val="24"/>
        </w:rPr>
        <w:t xml:space="preserve"> helyi önkormányzat költségvetési mérlegét közgazdasági tagolásban, előirányzat felhasználási tervét, „ </w:t>
      </w:r>
      <w:r w:rsidRPr="003C1E65">
        <w:rPr>
          <w:sz w:val="24"/>
          <w:szCs w:val="24"/>
        </w:rPr>
        <w:t xml:space="preserve">(Ez a </w:t>
      </w:r>
      <w:r>
        <w:rPr>
          <w:sz w:val="24"/>
          <w:szCs w:val="24"/>
        </w:rPr>
        <w:t>12. számú táblázat</w:t>
      </w:r>
      <w:r w:rsidRPr="003C1E65">
        <w:rPr>
          <w:sz w:val="24"/>
          <w:szCs w:val="24"/>
        </w:rPr>
        <w:t>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b) a többéves kihatással járó döntések számszerűsítését évenkénti bontásban és összesítve, és</w:t>
      </w:r>
      <w:r w:rsidRPr="003C1E65">
        <w:rPr>
          <w:sz w:val="24"/>
          <w:szCs w:val="24"/>
        </w:rPr>
        <w:t xml:space="preserve"> (ez a 14. számú táblázat)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c) a közvetett támogatásokat – így különösen adóelengedéseket, adókedvezményeket – tartalmazó kimutatást.</w:t>
      </w:r>
      <w:r w:rsidRPr="003C1E65">
        <w:rPr>
          <w:sz w:val="24"/>
          <w:szCs w:val="24"/>
        </w:rPr>
        <w:t xml:space="preserve"> (ez a 1</w:t>
      </w:r>
      <w:r>
        <w:rPr>
          <w:sz w:val="24"/>
          <w:szCs w:val="24"/>
        </w:rPr>
        <w:t>3</w:t>
      </w:r>
      <w:r w:rsidRPr="003C1E65">
        <w:rPr>
          <w:sz w:val="24"/>
          <w:szCs w:val="24"/>
        </w:rPr>
        <w:t>. számú táblázat)</w:t>
      </w:r>
    </w:p>
    <w:p w:rsidR="002F2E31" w:rsidRPr="00635E50" w:rsidRDefault="00817C0A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15.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hitelállományának alakulását mutatja be. Jelenleg az önkormányzat </w:t>
      </w:r>
      <w:r w:rsidR="00740B42">
        <w:rPr>
          <w:sz w:val="24"/>
          <w:szCs w:val="24"/>
        </w:rPr>
        <w:t xml:space="preserve">a strand beruházás miatt </w:t>
      </w:r>
      <w:r>
        <w:rPr>
          <w:sz w:val="24"/>
          <w:szCs w:val="24"/>
        </w:rPr>
        <w:t>rendelkezik hitelállománnyal.</w:t>
      </w:r>
    </w:p>
    <w:p w:rsidR="002F2E31" w:rsidRDefault="00574314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1</w:t>
      </w:r>
      <w:r w:rsidR="00F82DB9">
        <w:rPr>
          <w:sz w:val="24"/>
          <w:szCs w:val="24"/>
        </w:rPr>
        <w:t>6</w:t>
      </w:r>
      <w:r>
        <w:rPr>
          <w:sz w:val="24"/>
          <w:szCs w:val="24"/>
        </w:rPr>
        <w:t xml:space="preserve">. számú melléklet </w:t>
      </w:r>
      <w:r w:rsidRPr="00574314">
        <w:rPr>
          <w:sz w:val="24"/>
          <w:szCs w:val="24"/>
        </w:rPr>
        <w:t>Tápiógyörgye Község Önkormányzatának 201</w:t>
      </w:r>
      <w:r w:rsidR="00740B42">
        <w:rPr>
          <w:sz w:val="24"/>
          <w:szCs w:val="24"/>
        </w:rPr>
        <w:t>4</w:t>
      </w:r>
      <w:r w:rsidRPr="00574314">
        <w:rPr>
          <w:sz w:val="24"/>
          <w:szCs w:val="24"/>
        </w:rPr>
        <w:t>. évi előirányzat-felhasználási és pénzügyi likviditási ütemterv</w:t>
      </w:r>
      <w:r>
        <w:rPr>
          <w:sz w:val="24"/>
          <w:szCs w:val="24"/>
        </w:rPr>
        <w:t>ét mutatja be.</w:t>
      </w:r>
    </w:p>
    <w:p w:rsidR="00F82DB9" w:rsidRPr="00635E50" w:rsidRDefault="00F82DB9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17. számú melléklet </w:t>
      </w:r>
      <w:r w:rsidRPr="00574314">
        <w:rPr>
          <w:sz w:val="24"/>
          <w:szCs w:val="24"/>
        </w:rPr>
        <w:t>Tápiógyörgye Község Önkormányzatának</w:t>
      </w:r>
      <w:r>
        <w:rPr>
          <w:sz w:val="24"/>
          <w:szCs w:val="24"/>
        </w:rPr>
        <w:t xml:space="preserve"> a 201</w:t>
      </w:r>
      <w:r w:rsidR="00740B42">
        <w:rPr>
          <w:sz w:val="24"/>
          <w:szCs w:val="24"/>
        </w:rPr>
        <w:t>4</w:t>
      </w:r>
      <w:r>
        <w:rPr>
          <w:sz w:val="24"/>
          <w:szCs w:val="24"/>
        </w:rPr>
        <w:t>. évi környezetvédelmi alap felhasználást mutatja be „</w:t>
      </w:r>
      <w:r w:rsidRPr="00F82DB9">
        <w:rPr>
          <w:i/>
          <w:sz w:val="24"/>
          <w:szCs w:val="24"/>
        </w:rPr>
        <w:t>a környezet védelmének általános szabályairól</w:t>
      </w:r>
      <w:r>
        <w:rPr>
          <w:i/>
          <w:sz w:val="24"/>
          <w:szCs w:val="24"/>
        </w:rPr>
        <w:t>”</w:t>
      </w:r>
      <w:r w:rsidRPr="00F82DB9">
        <w:rPr>
          <w:i/>
          <w:sz w:val="24"/>
          <w:szCs w:val="24"/>
        </w:rPr>
        <w:t xml:space="preserve"> </w:t>
      </w:r>
      <w:r w:rsidRPr="00F82DB9">
        <w:rPr>
          <w:sz w:val="24"/>
          <w:szCs w:val="24"/>
        </w:rPr>
        <w:t>szóló 1995. évi LIII. törvény 58. § (5) bekezdése alapján</w:t>
      </w:r>
      <w:r>
        <w:rPr>
          <w:sz w:val="24"/>
          <w:szCs w:val="24"/>
        </w:rPr>
        <w:t>.</w:t>
      </w:r>
      <w:r w:rsidR="001404D6">
        <w:rPr>
          <w:sz w:val="24"/>
          <w:szCs w:val="24"/>
        </w:rPr>
        <w:t xml:space="preserve"> A környezetvédelmi alapban jelenleg nem található összeg.</w:t>
      </w:r>
    </w:p>
    <w:p w:rsidR="002F2E31" w:rsidRPr="00635E50" w:rsidRDefault="002F2E31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574314" w:rsidRPr="00574314" w:rsidRDefault="00574314" w:rsidP="000A1C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>A</w:t>
      </w:r>
      <w:r w:rsidR="000A1C62" w:rsidRPr="000A1C62">
        <w:t xml:space="preserve"> </w:t>
      </w:r>
      <w:r w:rsidR="000A1C62" w:rsidRPr="000A1C62">
        <w:rPr>
          <w:rFonts w:ascii="Times New Roman" w:eastAsia="Times New Roman" w:hAnsi="Times New Roman" w:cs="Times New Roman"/>
          <w:b/>
          <w:color w:val="auto"/>
          <w:lang w:val="hu-HU"/>
        </w:rPr>
        <w:t>jogszabályi megfeleltetések alapján</w:t>
      </w: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költségvetési mellékletben az alábbi táblázatoknak, kimutatásoknak kell szerepelni: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bevételei (1.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a),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d-e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(1)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bevételei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évben (2.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(4) bekezdése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költségvetési kiadásainak alakulása (3.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(2) a) pontja alapján)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kiadásai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évben (4.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(3-4) bekezdése alapján)</w:t>
      </w:r>
    </w:p>
    <w:p w:rsidR="006D1F3E" w:rsidRPr="00574314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Helyi önkormányzat kiadási előirányzatai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(</w:t>
      </w:r>
      <w:r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(3) bekezdés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bb-bc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6D1F3E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Önkormányzati Hivatal kiadási előirányzatai (Polgármesteri hivatal) (</w:t>
      </w:r>
      <w:r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számú melléklet)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felhalmozási kiadásai (</w:t>
      </w:r>
      <w:r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Önkormányzatnál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(</w:t>
      </w:r>
      <w:r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bd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azon fejlesztési céljait, amelyek megvalósításához a Stabilitási tv. 3. § (1) bekezdése szerinti adósságot keletkeztető ügylet megkötése válik vagy válhat szükségessé. (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f)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költségvetési támogatása. (</w:t>
      </w:r>
      <w:r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</w:t>
      </w:r>
      <w:proofErr w:type="gram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melléklet )</w:t>
      </w:r>
      <w:proofErr w:type="gramEnd"/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 adósságot keletkeztető ügyletekből és kezességvállalásokból fennálló kötelezettségeinek és a 353/2011. (XII.30.)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korm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Rendeletben meghatározott saját bevételeinek alakulása. (11.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g)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évi költségvetésének számviteli mérlege. (12.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c) pontja alapján 24. § (4) bekezdés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Községi Önkormányzat által adott közvetett támogatások (kedvezmények)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terve. (13.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c)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alapján, 28. §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Több éves elkötelezettséggel járó kiadási tételek évenkénti bontásban (14.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b)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Az Önkormányzati hitelek alakulása (15. számú melléklet)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Önkormányzatának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előirányzat-felhasználási és pénzügyi likviditási ütemterve. (16.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a) pontja alapján)</w:t>
      </w:r>
    </w:p>
    <w:p w:rsidR="002D2AF2" w:rsidRPr="00574314" w:rsidRDefault="002D2AF2" w:rsidP="002D2A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ápiógyörgye Község Önkormányzatának a 201</w:t>
      </w:r>
      <w:r w:rsidR="00740B4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. évi környezetvédelmi alap felhasználás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a. (17. számú melléklet 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„a környezet védelmének általános szabályairól” szóló 1995. évi LIII. törvény 58. § (5) bekezdése alapján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</w:p>
    <w:p w:rsidR="00984BBE" w:rsidRPr="00984BBE" w:rsidRDefault="00984BBE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BE538C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Tisztelt Képviselő-testület!</w:t>
      </w: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Kérem a Tisztelt Képviselő-testületet előterjesztésem megtárgyalására és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a mellékelt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rendelet tervezett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elfogadására.</w:t>
      </w: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color w:val="auto"/>
          <w:lang w:val="hu-HU"/>
        </w:rPr>
        <w:t>Tápiógyörgye, 201</w:t>
      </w:r>
      <w:r w:rsidR="00BC66E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BC66EA">
        <w:rPr>
          <w:rFonts w:ascii="Times New Roman" w:eastAsia="Times New Roman" w:hAnsi="Times New Roman" w:cs="Times New Roman"/>
          <w:color w:val="auto"/>
          <w:lang w:val="hu-HU"/>
        </w:rPr>
        <w:t>január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087E4F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BC66EA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Pr="00BE538C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E538C" w:rsidRPr="00BE538C" w:rsidRDefault="00FE4231" w:rsidP="00BE538C">
      <w:pPr>
        <w:ind w:firstLine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Varró István </w:t>
      </w:r>
    </w:p>
    <w:p w:rsidR="00BE538C" w:rsidRPr="00BE538C" w:rsidRDefault="00FE4231" w:rsidP="00BE538C">
      <w:pPr>
        <w:ind w:left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polgármester</w:t>
      </w:r>
      <w:proofErr w:type="gramEnd"/>
    </w:p>
    <w:p w:rsidR="006D1F3E" w:rsidRPr="00BE538C" w:rsidRDefault="006D1F3E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8744CD" w:rsidRPr="00BE538C" w:rsidRDefault="008744CD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előterjesztést törvényességi szempontból ellenőrizte: </w:t>
      </w:r>
    </w:p>
    <w:p w:rsidR="00DA29E1" w:rsidRDefault="00BE538C" w:rsidP="00BE538C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proofErr w:type="gramStart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>dr.</w:t>
      </w:r>
      <w:proofErr w:type="gramEnd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Papp Antal jegyző</w:t>
      </w:r>
    </w:p>
    <w:p w:rsidR="00DA29E1" w:rsidRPr="00DA29E1" w:rsidRDefault="00DA29E1" w:rsidP="00DA29E1">
      <w:pPr>
        <w:jc w:val="right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lastRenderedPageBreak/>
        <w:t>2. számú melléklet a 201</w:t>
      </w:r>
      <w:r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>. évi költségvetés tervezethez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center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b/>
          <w:color w:val="auto"/>
          <w:lang w:val="hu-HU"/>
        </w:rPr>
        <w:t>Tájékoztató az előzetes hatásvizsgálat eredményéről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1.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Jogszabály megalkotásának szükségessége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 w:rsidR="003065E1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3065E1" w:rsidRPr="003065E1">
        <w:rPr>
          <w:rFonts w:ascii="Times New Roman" w:eastAsia="Times New Roman" w:hAnsi="Times New Roman" w:cs="Times New Roman"/>
          <w:color w:val="auto"/>
          <w:lang w:val="hu-HU"/>
        </w:rPr>
        <w:t xml:space="preserve">011. évi CXCV. törvényben (továbbiakban Áht.) előírt feladatának </w:t>
      </w:r>
      <w:r w:rsidR="003065E1">
        <w:rPr>
          <w:rFonts w:ascii="Times New Roman" w:eastAsia="Times New Roman" w:hAnsi="Times New Roman" w:cs="Times New Roman"/>
          <w:color w:val="auto"/>
          <w:lang w:val="hu-HU"/>
        </w:rPr>
        <w:t xml:space="preserve">eleget téve a költségvetési törvény elfogadása után 45 napon belül elkészíti a költségvetését. </w:t>
      </w:r>
      <w:r w:rsidR="003065E1" w:rsidRPr="003065E1">
        <w:rPr>
          <w:rFonts w:ascii="Times New Roman" w:eastAsia="Times New Roman" w:hAnsi="Times New Roman" w:cs="Times New Roman"/>
          <w:color w:val="auto"/>
          <w:lang w:val="hu-HU"/>
        </w:rPr>
        <w:t>2014. évi költségvetését (2013. évi CCXXX. törvény) az Országgyűlés 2013. december 20-i ülésén hagyta jóvá és a 2013. december 21-i Magyar közlönybe került kihirdetésre.</w:t>
      </w:r>
      <w:r w:rsidR="003065E1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A tervezetben a korábbi rendelet szerinti részletes levezetése az előterjesztés része.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2.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A szabályozás várható következményei:</w:t>
      </w:r>
    </w:p>
    <w:p w:rsidR="00DA29E1" w:rsidRPr="00DA29E1" w:rsidRDefault="00DA29E1" w:rsidP="00DA29E1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DA29E1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DA29E1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társadalmi, gazdasági, költségvetési hatásai:</w:t>
      </w:r>
      <w:r w:rsidR="0046659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bookmarkStart w:id="0" w:name="_GoBack"/>
      <w:bookmarkEnd w:id="0"/>
    </w:p>
    <w:p w:rsidR="00DA29E1" w:rsidRPr="00DA29E1" w:rsidRDefault="00DA29E1" w:rsidP="00DA29E1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b)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környezeti és egészségi következményei: nincs</w:t>
      </w:r>
    </w:p>
    <w:p w:rsidR="00DA29E1" w:rsidRPr="00DA29E1" w:rsidRDefault="00DA29E1" w:rsidP="00DA29E1">
      <w:pPr>
        <w:tabs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c)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adminisztratív terheket befolyásoló hatások: van, a módosításokat a Magyar Államkincstár felé is jelezni kell.</w:t>
      </w: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A29E1" w:rsidRPr="00DA29E1" w:rsidRDefault="00DA29E1" w:rsidP="00DA29E1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>3.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Jogszabály alkalmazásához szükséges személyi, szervezeti tárgyi és pénzügyi feltételek:</w:t>
      </w:r>
    </w:p>
    <w:p w:rsidR="00DA29E1" w:rsidRPr="00DA29E1" w:rsidRDefault="00DA29E1" w:rsidP="00DA29E1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 xml:space="preserve">Személyi feltételek: 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többletet nem igényel </w:t>
      </w:r>
    </w:p>
    <w:p w:rsidR="00DA29E1" w:rsidRPr="00DA29E1" w:rsidRDefault="00DA29E1" w:rsidP="00DA29E1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 xml:space="preserve">Szervezeti feltételek: 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változtatás nem igényel </w:t>
      </w:r>
    </w:p>
    <w:p w:rsidR="00DA29E1" w:rsidRPr="00DA29E1" w:rsidRDefault="00DA29E1" w:rsidP="00DA29E1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 xml:space="preserve">Tárgyi feltételek: 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változtatást nem igényel </w:t>
      </w:r>
    </w:p>
    <w:p w:rsidR="00DA29E1" w:rsidRPr="00DA29E1" w:rsidRDefault="00DA29E1" w:rsidP="00DA29E1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DA29E1">
        <w:rPr>
          <w:rFonts w:ascii="Times New Roman" w:eastAsia="Times New Roman" w:hAnsi="Times New Roman" w:cs="Times New Roman"/>
          <w:color w:val="auto"/>
          <w:lang w:val="hu-HU"/>
        </w:rPr>
        <w:t xml:space="preserve">Pénzügyi feltételek: </w:t>
      </w:r>
      <w:r w:rsidRPr="00DA29E1">
        <w:rPr>
          <w:rFonts w:ascii="Times New Roman" w:eastAsia="Times New Roman" w:hAnsi="Times New Roman" w:cs="Times New Roman"/>
          <w:color w:val="auto"/>
          <w:lang w:val="hu-HU"/>
        </w:rPr>
        <w:tab/>
        <w:t>többletet igényel</w:t>
      </w:r>
    </w:p>
    <w:p w:rsidR="00BE538C" w:rsidRPr="00BE538C" w:rsidRDefault="00BE538C" w:rsidP="00BE538C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sectPr w:rsidR="00BE538C" w:rsidRPr="00BE538C" w:rsidSect="00CD5C86">
      <w:footerReference w:type="default" r:id="rId9"/>
      <w:pgSz w:w="11905" w:h="16837" w:code="9"/>
      <w:pgMar w:top="1418" w:right="1418" w:bottom="1418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C" w:rsidRDefault="00964F6C" w:rsidP="00CC3949">
      <w:r>
        <w:separator/>
      </w:r>
    </w:p>
  </w:endnote>
  <w:endnote w:type="continuationSeparator" w:id="0">
    <w:p w:rsidR="00964F6C" w:rsidRDefault="00964F6C" w:rsidP="00C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5" w:rsidRDefault="00660255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[201</w:t>
    </w:r>
    <w:r w:rsidR="00CC0E03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 évi költségvetési előterjesztés]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66594" w:rsidRPr="00466594">
      <w:rPr>
        <w:rFonts w:asciiTheme="majorHAnsi" w:eastAsiaTheme="majorEastAsia" w:hAnsiTheme="majorHAnsi" w:cstheme="majorBidi"/>
        <w:noProof/>
        <w:lang w:val="hu-HU"/>
      </w:rPr>
      <w:t>14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  <w:lang w:val="hu-HU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C" w:rsidRDefault="00964F6C" w:rsidP="00CC3949">
      <w:r>
        <w:separator/>
      </w:r>
    </w:p>
  </w:footnote>
  <w:footnote w:type="continuationSeparator" w:id="0">
    <w:p w:rsidR="00964F6C" w:rsidRDefault="00964F6C" w:rsidP="00CC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4E6"/>
    <w:multiLevelType w:val="hybridMultilevel"/>
    <w:tmpl w:val="73A29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2E0"/>
    <w:multiLevelType w:val="hybridMultilevel"/>
    <w:tmpl w:val="86E22CAC"/>
    <w:lvl w:ilvl="0" w:tplc="3A7624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6B6"/>
    <w:multiLevelType w:val="hybridMultilevel"/>
    <w:tmpl w:val="07743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923"/>
    <w:multiLevelType w:val="hybridMultilevel"/>
    <w:tmpl w:val="5CAED5F4"/>
    <w:lvl w:ilvl="0" w:tplc="276236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0060A9D"/>
    <w:multiLevelType w:val="hybridMultilevel"/>
    <w:tmpl w:val="1F963F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3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3"/>
    <w:rsid w:val="00000EEA"/>
    <w:rsid w:val="00005514"/>
    <w:rsid w:val="00014884"/>
    <w:rsid w:val="00022D74"/>
    <w:rsid w:val="00025744"/>
    <w:rsid w:val="00040B1D"/>
    <w:rsid w:val="00045D19"/>
    <w:rsid w:val="0005101F"/>
    <w:rsid w:val="00065DA1"/>
    <w:rsid w:val="00065E7D"/>
    <w:rsid w:val="00072BAB"/>
    <w:rsid w:val="0008419B"/>
    <w:rsid w:val="00087E4F"/>
    <w:rsid w:val="00087EB5"/>
    <w:rsid w:val="00091360"/>
    <w:rsid w:val="00091FD4"/>
    <w:rsid w:val="00094C07"/>
    <w:rsid w:val="000952BA"/>
    <w:rsid w:val="00096136"/>
    <w:rsid w:val="00097080"/>
    <w:rsid w:val="000A1C62"/>
    <w:rsid w:val="000A2D9A"/>
    <w:rsid w:val="000B10A5"/>
    <w:rsid w:val="000B577B"/>
    <w:rsid w:val="000B6115"/>
    <w:rsid w:val="000C07E9"/>
    <w:rsid w:val="000C432E"/>
    <w:rsid w:val="000D029B"/>
    <w:rsid w:val="000E2930"/>
    <w:rsid w:val="000F56EE"/>
    <w:rsid w:val="001009F4"/>
    <w:rsid w:val="00115B15"/>
    <w:rsid w:val="001215E6"/>
    <w:rsid w:val="001256AB"/>
    <w:rsid w:val="00130652"/>
    <w:rsid w:val="001404D6"/>
    <w:rsid w:val="00161BD3"/>
    <w:rsid w:val="00164C09"/>
    <w:rsid w:val="00172D29"/>
    <w:rsid w:val="00174902"/>
    <w:rsid w:val="0017608D"/>
    <w:rsid w:val="00176DB7"/>
    <w:rsid w:val="00180F07"/>
    <w:rsid w:val="001820E3"/>
    <w:rsid w:val="00185E74"/>
    <w:rsid w:val="00195F74"/>
    <w:rsid w:val="00196887"/>
    <w:rsid w:val="001B3595"/>
    <w:rsid w:val="001C4153"/>
    <w:rsid w:val="001C54A4"/>
    <w:rsid w:val="001F08E4"/>
    <w:rsid w:val="00204C28"/>
    <w:rsid w:val="00205B4C"/>
    <w:rsid w:val="00220277"/>
    <w:rsid w:val="00224E8F"/>
    <w:rsid w:val="00240BC9"/>
    <w:rsid w:val="002528BF"/>
    <w:rsid w:val="00256E89"/>
    <w:rsid w:val="00262AB1"/>
    <w:rsid w:val="00263A70"/>
    <w:rsid w:val="002657F0"/>
    <w:rsid w:val="002730F6"/>
    <w:rsid w:val="00274AF2"/>
    <w:rsid w:val="00280B11"/>
    <w:rsid w:val="00282613"/>
    <w:rsid w:val="002931EA"/>
    <w:rsid w:val="0029618C"/>
    <w:rsid w:val="002A01E3"/>
    <w:rsid w:val="002A5FB8"/>
    <w:rsid w:val="002C111F"/>
    <w:rsid w:val="002D07A2"/>
    <w:rsid w:val="002D2AF2"/>
    <w:rsid w:val="002E2AEF"/>
    <w:rsid w:val="002F2E31"/>
    <w:rsid w:val="00300BFA"/>
    <w:rsid w:val="00303DE9"/>
    <w:rsid w:val="00304DC3"/>
    <w:rsid w:val="003065E1"/>
    <w:rsid w:val="0031773B"/>
    <w:rsid w:val="00321A69"/>
    <w:rsid w:val="00325D35"/>
    <w:rsid w:val="00336AF7"/>
    <w:rsid w:val="00346AAA"/>
    <w:rsid w:val="00350F6D"/>
    <w:rsid w:val="00351002"/>
    <w:rsid w:val="0035774A"/>
    <w:rsid w:val="00363D31"/>
    <w:rsid w:val="003669CD"/>
    <w:rsid w:val="00367BA7"/>
    <w:rsid w:val="00380335"/>
    <w:rsid w:val="00383255"/>
    <w:rsid w:val="00385FA6"/>
    <w:rsid w:val="00387168"/>
    <w:rsid w:val="003941FF"/>
    <w:rsid w:val="003A3300"/>
    <w:rsid w:val="003A4FAD"/>
    <w:rsid w:val="003A7C76"/>
    <w:rsid w:val="003B277A"/>
    <w:rsid w:val="003C0FDF"/>
    <w:rsid w:val="003C1E65"/>
    <w:rsid w:val="003C321D"/>
    <w:rsid w:val="003C3601"/>
    <w:rsid w:val="003C48C5"/>
    <w:rsid w:val="003C5665"/>
    <w:rsid w:val="003D0191"/>
    <w:rsid w:val="003D6032"/>
    <w:rsid w:val="003E2F2B"/>
    <w:rsid w:val="003E4D8B"/>
    <w:rsid w:val="003F3890"/>
    <w:rsid w:val="003F61D2"/>
    <w:rsid w:val="003F654D"/>
    <w:rsid w:val="00400EBC"/>
    <w:rsid w:val="004019D8"/>
    <w:rsid w:val="0040407E"/>
    <w:rsid w:val="0040448A"/>
    <w:rsid w:val="004142D6"/>
    <w:rsid w:val="004143AE"/>
    <w:rsid w:val="0041466A"/>
    <w:rsid w:val="00417ADC"/>
    <w:rsid w:val="00425853"/>
    <w:rsid w:val="00434974"/>
    <w:rsid w:val="004414D7"/>
    <w:rsid w:val="004427F4"/>
    <w:rsid w:val="00452705"/>
    <w:rsid w:val="00457DD6"/>
    <w:rsid w:val="004627F2"/>
    <w:rsid w:val="00463CE2"/>
    <w:rsid w:val="004659B3"/>
    <w:rsid w:val="00466594"/>
    <w:rsid w:val="00474900"/>
    <w:rsid w:val="00487858"/>
    <w:rsid w:val="004942D9"/>
    <w:rsid w:val="00497D04"/>
    <w:rsid w:val="004A3B47"/>
    <w:rsid w:val="004A7CB6"/>
    <w:rsid w:val="004B15B0"/>
    <w:rsid w:val="004B1C7C"/>
    <w:rsid w:val="004B2588"/>
    <w:rsid w:val="004B5323"/>
    <w:rsid w:val="004D6B6A"/>
    <w:rsid w:val="004E2930"/>
    <w:rsid w:val="004E2F71"/>
    <w:rsid w:val="004E6C9F"/>
    <w:rsid w:val="0050689F"/>
    <w:rsid w:val="00507496"/>
    <w:rsid w:val="00511D33"/>
    <w:rsid w:val="005154B6"/>
    <w:rsid w:val="005245F8"/>
    <w:rsid w:val="00524F11"/>
    <w:rsid w:val="005323A9"/>
    <w:rsid w:val="00542D5A"/>
    <w:rsid w:val="00552933"/>
    <w:rsid w:val="005535CA"/>
    <w:rsid w:val="00557AB0"/>
    <w:rsid w:val="00565CB0"/>
    <w:rsid w:val="00574314"/>
    <w:rsid w:val="00597892"/>
    <w:rsid w:val="005B08B2"/>
    <w:rsid w:val="005C39EC"/>
    <w:rsid w:val="005C3C7E"/>
    <w:rsid w:val="005C7FB9"/>
    <w:rsid w:val="005D4F69"/>
    <w:rsid w:val="005D7B7B"/>
    <w:rsid w:val="005F29C4"/>
    <w:rsid w:val="0060680A"/>
    <w:rsid w:val="00612AB4"/>
    <w:rsid w:val="00614771"/>
    <w:rsid w:val="00614D69"/>
    <w:rsid w:val="00625740"/>
    <w:rsid w:val="0062784E"/>
    <w:rsid w:val="006324D8"/>
    <w:rsid w:val="00635E50"/>
    <w:rsid w:val="00644EAD"/>
    <w:rsid w:val="00650377"/>
    <w:rsid w:val="00653F71"/>
    <w:rsid w:val="00660255"/>
    <w:rsid w:val="0066788A"/>
    <w:rsid w:val="00667F8D"/>
    <w:rsid w:val="00682676"/>
    <w:rsid w:val="00690A52"/>
    <w:rsid w:val="00694FCB"/>
    <w:rsid w:val="006A7FC9"/>
    <w:rsid w:val="006B5321"/>
    <w:rsid w:val="006C0E2B"/>
    <w:rsid w:val="006C61E8"/>
    <w:rsid w:val="006D1F3E"/>
    <w:rsid w:val="006D7004"/>
    <w:rsid w:val="006E08C6"/>
    <w:rsid w:val="006F2585"/>
    <w:rsid w:val="006F3E07"/>
    <w:rsid w:val="006F5B2C"/>
    <w:rsid w:val="007034B8"/>
    <w:rsid w:val="00705936"/>
    <w:rsid w:val="0070643F"/>
    <w:rsid w:val="00706C7B"/>
    <w:rsid w:val="00706D5D"/>
    <w:rsid w:val="00707BC6"/>
    <w:rsid w:val="00712640"/>
    <w:rsid w:val="007179BC"/>
    <w:rsid w:val="00724A66"/>
    <w:rsid w:val="0073403B"/>
    <w:rsid w:val="00736DCB"/>
    <w:rsid w:val="00740B42"/>
    <w:rsid w:val="0075174D"/>
    <w:rsid w:val="00755D14"/>
    <w:rsid w:val="00785119"/>
    <w:rsid w:val="00792CE2"/>
    <w:rsid w:val="007A2395"/>
    <w:rsid w:val="007B162C"/>
    <w:rsid w:val="007B366B"/>
    <w:rsid w:val="007B3E0A"/>
    <w:rsid w:val="007C1F16"/>
    <w:rsid w:val="007C35F4"/>
    <w:rsid w:val="007D1D7F"/>
    <w:rsid w:val="007D1DE2"/>
    <w:rsid w:val="007D4C7F"/>
    <w:rsid w:val="007E70F1"/>
    <w:rsid w:val="007F447B"/>
    <w:rsid w:val="00803841"/>
    <w:rsid w:val="00804C7C"/>
    <w:rsid w:val="0080678D"/>
    <w:rsid w:val="00811395"/>
    <w:rsid w:val="00814587"/>
    <w:rsid w:val="008157FF"/>
    <w:rsid w:val="00817C0A"/>
    <w:rsid w:val="00820F78"/>
    <w:rsid w:val="00835E88"/>
    <w:rsid w:val="008422F5"/>
    <w:rsid w:val="0084582B"/>
    <w:rsid w:val="008559CA"/>
    <w:rsid w:val="008579E6"/>
    <w:rsid w:val="0086351E"/>
    <w:rsid w:val="008744CD"/>
    <w:rsid w:val="00882778"/>
    <w:rsid w:val="008933E3"/>
    <w:rsid w:val="008935F2"/>
    <w:rsid w:val="008948F1"/>
    <w:rsid w:val="008A6031"/>
    <w:rsid w:val="008B4AB5"/>
    <w:rsid w:val="008C4320"/>
    <w:rsid w:val="008D5624"/>
    <w:rsid w:val="008D7759"/>
    <w:rsid w:val="008E026B"/>
    <w:rsid w:val="008E0A9C"/>
    <w:rsid w:val="008E4D76"/>
    <w:rsid w:val="008E7621"/>
    <w:rsid w:val="008F4B10"/>
    <w:rsid w:val="008F7B56"/>
    <w:rsid w:val="00907DFF"/>
    <w:rsid w:val="009109A9"/>
    <w:rsid w:val="00914ACC"/>
    <w:rsid w:val="009163B9"/>
    <w:rsid w:val="009241A5"/>
    <w:rsid w:val="00925842"/>
    <w:rsid w:val="009351DE"/>
    <w:rsid w:val="00935E48"/>
    <w:rsid w:val="00943452"/>
    <w:rsid w:val="0095115E"/>
    <w:rsid w:val="00956858"/>
    <w:rsid w:val="00957E25"/>
    <w:rsid w:val="0096002C"/>
    <w:rsid w:val="00963634"/>
    <w:rsid w:val="00964D31"/>
    <w:rsid w:val="00964F6C"/>
    <w:rsid w:val="00965321"/>
    <w:rsid w:val="009659FC"/>
    <w:rsid w:val="0098128F"/>
    <w:rsid w:val="00981F80"/>
    <w:rsid w:val="00984BBE"/>
    <w:rsid w:val="00986297"/>
    <w:rsid w:val="009924AD"/>
    <w:rsid w:val="009958AF"/>
    <w:rsid w:val="009B5AAE"/>
    <w:rsid w:val="009B63AF"/>
    <w:rsid w:val="009B7B8A"/>
    <w:rsid w:val="009C5DA2"/>
    <w:rsid w:val="009D4BA6"/>
    <w:rsid w:val="009E5B45"/>
    <w:rsid w:val="009F26F2"/>
    <w:rsid w:val="009F49CA"/>
    <w:rsid w:val="00A12F15"/>
    <w:rsid w:val="00A179B4"/>
    <w:rsid w:val="00A2020E"/>
    <w:rsid w:val="00A226D8"/>
    <w:rsid w:val="00A35841"/>
    <w:rsid w:val="00A45D28"/>
    <w:rsid w:val="00A46E70"/>
    <w:rsid w:val="00A504F8"/>
    <w:rsid w:val="00A53840"/>
    <w:rsid w:val="00A55F52"/>
    <w:rsid w:val="00A56A63"/>
    <w:rsid w:val="00A61670"/>
    <w:rsid w:val="00A91033"/>
    <w:rsid w:val="00A91C2E"/>
    <w:rsid w:val="00AA0B8C"/>
    <w:rsid w:val="00AA77CB"/>
    <w:rsid w:val="00AB0CB0"/>
    <w:rsid w:val="00AB2850"/>
    <w:rsid w:val="00AB571E"/>
    <w:rsid w:val="00AB6DD0"/>
    <w:rsid w:val="00AC72CD"/>
    <w:rsid w:val="00AD4613"/>
    <w:rsid w:val="00AE07CC"/>
    <w:rsid w:val="00AF3FB7"/>
    <w:rsid w:val="00AF7E58"/>
    <w:rsid w:val="00B03B1B"/>
    <w:rsid w:val="00B06A4A"/>
    <w:rsid w:val="00B2402D"/>
    <w:rsid w:val="00B26822"/>
    <w:rsid w:val="00B62EB9"/>
    <w:rsid w:val="00B652B2"/>
    <w:rsid w:val="00B67771"/>
    <w:rsid w:val="00B7291E"/>
    <w:rsid w:val="00B90C32"/>
    <w:rsid w:val="00B975CA"/>
    <w:rsid w:val="00BA4E1E"/>
    <w:rsid w:val="00BB05D6"/>
    <w:rsid w:val="00BB5A09"/>
    <w:rsid w:val="00BB787F"/>
    <w:rsid w:val="00BC66EA"/>
    <w:rsid w:val="00BC7ADF"/>
    <w:rsid w:val="00BD26FB"/>
    <w:rsid w:val="00BD287D"/>
    <w:rsid w:val="00BD7367"/>
    <w:rsid w:val="00BE4413"/>
    <w:rsid w:val="00BE538C"/>
    <w:rsid w:val="00BE5471"/>
    <w:rsid w:val="00BE5A8F"/>
    <w:rsid w:val="00BE7EC3"/>
    <w:rsid w:val="00BF2E83"/>
    <w:rsid w:val="00BF6708"/>
    <w:rsid w:val="00C118A9"/>
    <w:rsid w:val="00C2497B"/>
    <w:rsid w:val="00C27DAD"/>
    <w:rsid w:val="00C41C43"/>
    <w:rsid w:val="00C4561C"/>
    <w:rsid w:val="00C5260F"/>
    <w:rsid w:val="00C52F14"/>
    <w:rsid w:val="00C531E0"/>
    <w:rsid w:val="00C55E9D"/>
    <w:rsid w:val="00C56A51"/>
    <w:rsid w:val="00C60AF2"/>
    <w:rsid w:val="00C80AB0"/>
    <w:rsid w:val="00C869E2"/>
    <w:rsid w:val="00C91179"/>
    <w:rsid w:val="00CA5A8F"/>
    <w:rsid w:val="00CC0E03"/>
    <w:rsid w:val="00CC183E"/>
    <w:rsid w:val="00CC214B"/>
    <w:rsid w:val="00CC3949"/>
    <w:rsid w:val="00CC680A"/>
    <w:rsid w:val="00CD5C86"/>
    <w:rsid w:val="00CD7F27"/>
    <w:rsid w:val="00CF6C8B"/>
    <w:rsid w:val="00CF7FB7"/>
    <w:rsid w:val="00D020C2"/>
    <w:rsid w:val="00D1478B"/>
    <w:rsid w:val="00D177B4"/>
    <w:rsid w:val="00D23363"/>
    <w:rsid w:val="00D31D92"/>
    <w:rsid w:val="00D42930"/>
    <w:rsid w:val="00D44411"/>
    <w:rsid w:val="00D45053"/>
    <w:rsid w:val="00D5446E"/>
    <w:rsid w:val="00D54A52"/>
    <w:rsid w:val="00D65F09"/>
    <w:rsid w:val="00D70139"/>
    <w:rsid w:val="00D71623"/>
    <w:rsid w:val="00D77124"/>
    <w:rsid w:val="00D7761A"/>
    <w:rsid w:val="00D8609D"/>
    <w:rsid w:val="00D87013"/>
    <w:rsid w:val="00DA2970"/>
    <w:rsid w:val="00DA29E1"/>
    <w:rsid w:val="00DA42ED"/>
    <w:rsid w:val="00DB4C35"/>
    <w:rsid w:val="00DC23B5"/>
    <w:rsid w:val="00DC2E13"/>
    <w:rsid w:val="00DC7E7C"/>
    <w:rsid w:val="00DE7881"/>
    <w:rsid w:val="00DF1BCD"/>
    <w:rsid w:val="00E04EF6"/>
    <w:rsid w:val="00E0606B"/>
    <w:rsid w:val="00E06458"/>
    <w:rsid w:val="00E1445C"/>
    <w:rsid w:val="00E1744D"/>
    <w:rsid w:val="00E22DF6"/>
    <w:rsid w:val="00E24FC4"/>
    <w:rsid w:val="00E34BD1"/>
    <w:rsid w:val="00E57C15"/>
    <w:rsid w:val="00E60531"/>
    <w:rsid w:val="00E67223"/>
    <w:rsid w:val="00E71A98"/>
    <w:rsid w:val="00E73B5A"/>
    <w:rsid w:val="00E77B12"/>
    <w:rsid w:val="00E81EC9"/>
    <w:rsid w:val="00E86D82"/>
    <w:rsid w:val="00E87E45"/>
    <w:rsid w:val="00E95BC1"/>
    <w:rsid w:val="00EA44FF"/>
    <w:rsid w:val="00EC5FC1"/>
    <w:rsid w:val="00EE073E"/>
    <w:rsid w:val="00EE2552"/>
    <w:rsid w:val="00EE3987"/>
    <w:rsid w:val="00EF49CC"/>
    <w:rsid w:val="00F07CDD"/>
    <w:rsid w:val="00F10858"/>
    <w:rsid w:val="00F1196C"/>
    <w:rsid w:val="00F23F63"/>
    <w:rsid w:val="00F344EC"/>
    <w:rsid w:val="00F35907"/>
    <w:rsid w:val="00F35BD0"/>
    <w:rsid w:val="00F435F0"/>
    <w:rsid w:val="00F45B41"/>
    <w:rsid w:val="00F500A2"/>
    <w:rsid w:val="00F507B1"/>
    <w:rsid w:val="00F517FD"/>
    <w:rsid w:val="00F56BDB"/>
    <w:rsid w:val="00F657AB"/>
    <w:rsid w:val="00F819E0"/>
    <w:rsid w:val="00F82DB9"/>
    <w:rsid w:val="00FA0965"/>
    <w:rsid w:val="00FA3D28"/>
    <w:rsid w:val="00FA5F7A"/>
    <w:rsid w:val="00FA5F9D"/>
    <w:rsid w:val="00FA7BDC"/>
    <w:rsid w:val="00FB1238"/>
    <w:rsid w:val="00FB3B3B"/>
    <w:rsid w:val="00FC1221"/>
    <w:rsid w:val="00FC2E15"/>
    <w:rsid w:val="00FC3493"/>
    <w:rsid w:val="00FC4B4B"/>
    <w:rsid w:val="00FD5F48"/>
    <w:rsid w:val="00FE4231"/>
    <w:rsid w:val="00FE6FDE"/>
    <w:rsid w:val="00FF2377"/>
    <w:rsid w:val="00FF4EAA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1557-2C74-4F17-A760-55809D97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4874</Words>
  <Characters>33633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8</cp:revision>
  <cp:lastPrinted>2013-01-15T10:02:00Z</cp:lastPrinted>
  <dcterms:created xsi:type="dcterms:W3CDTF">2014-01-26T16:25:00Z</dcterms:created>
  <dcterms:modified xsi:type="dcterms:W3CDTF">2014-01-28T09:45:00Z</dcterms:modified>
</cp:coreProperties>
</file>