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 POLGÁRMESTERÉTŐL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E l ő t e r j e s z t é s</w:t>
      </w:r>
    </w:p>
    <w:p w:rsidR="00943452" w:rsidRPr="00943452" w:rsidRDefault="00943452" w:rsidP="00943452">
      <w:pPr>
        <w:jc w:val="center"/>
        <w:rPr>
          <w:rFonts w:ascii="Times New Roman" w:eastAsia="Times New Roman" w:hAnsi="Times New Roman" w:cs="Times New Roman"/>
          <w:color w:val="auto"/>
          <w:lang w:val="hu-HU"/>
        </w:rPr>
      </w:pP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Községi Önkormányzat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proofErr w:type="spellStart"/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Képviselő-Testület</w:t>
      </w:r>
      <w:proofErr w:type="spellEnd"/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201</w:t>
      </w:r>
      <w:r w:rsidR="00313FEE">
        <w:rPr>
          <w:rFonts w:ascii="Times New Roman" w:eastAsia="Times New Roman" w:hAnsi="Times New Roman" w:cs="Times New Roman"/>
          <w:color w:val="auto"/>
          <w:szCs w:val="20"/>
          <w:lang w:val="hu-HU"/>
        </w:rPr>
        <w:t>4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  <w:r w:rsidR="00816B48">
        <w:rPr>
          <w:rFonts w:ascii="Times New Roman" w:eastAsia="Times New Roman" w:hAnsi="Times New Roman" w:cs="Times New Roman"/>
          <w:color w:val="auto"/>
          <w:szCs w:val="20"/>
          <w:lang w:val="hu-HU"/>
        </w:rPr>
        <w:t>szeptember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  <w:r w:rsidR="00313FEE">
        <w:rPr>
          <w:rFonts w:ascii="Times New Roman" w:eastAsia="Times New Roman" w:hAnsi="Times New Roman" w:cs="Times New Roman"/>
          <w:color w:val="auto"/>
          <w:szCs w:val="20"/>
          <w:lang w:val="hu-HU"/>
        </w:rPr>
        <w:t>22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-én tartandó 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nyilvános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ülésére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</w:p>
    <w:p w:rsidR="00943452" w:rsidRPr="00943452" w:rsidRDefault="00640AD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>2</w:t>
      </w:r>
      <w:r w:rsidR="00943452" w:rsidRPr="00943452"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 xml:space="preserve">. Napirendi pont: </w:t>
      </w:r>
      <w:r w:rsidR="00943452"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</w:p>
    <w:p w:rsidR="00943452" w:rsidRPr="00943452" w:rsidRDefault="00943452" w:rsidP="00943452">
      <w:pPr>
        <w:keepNext/>
        <w:numPr>
          <w:ilvl w:val="0"/>
          <w:numId w:val="6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Tárgy: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A Tápiógyörgye Község Önkormányzat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201</w:t>
      </w:r>
      <w:r w:rsidR="00D6765F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évi </w:t>
      </w:r>
      <w:r w:rsidR="00816B48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I. félévi pénzügyi teljesítésének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előterjesztésről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Előterjesztő: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  <w:t>Varró István polgármester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Készítette: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  <w:t>Dr. Papp Antal jegyző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>Mellékletek száma</w:t>
      </w: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</w:t>
      </w:r>
      <w:r w:rsidR="00F377B1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C0195A">
        <w:rPr>
          <w:rFonts w:ascii="Times New Roman" w:eastAsia="Times New Roman" w:hAnsi="Times New Roman" w:cs="Times New Roman"/>
          <w:color w:val="auto"/>
          <w:lang w:val="hu-HU"/>
        </w:rPr>
        <w:t>7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db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Tárgyalta: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pénzügyi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bizottság 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Az előterjesztés elfogadásához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egy szavazás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szükséges:</w:t>
      </w:r>
    </w:p>
    <w:p w:rsidR="00943452" w:rsidRPr="00943452" w:rsidRDefault="00943452" w:rsidP="0094345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 határozathoz </w:t>
      </w:r>
      <w:r>
        <w:rPr>
          <w:rFonts w:ascii="Times New Roman" w:eastAsia="Times New Roman" w:hAnsi="Times New Roman" w:cstheme="minorBidi"/>
          <w:b/>
          <w:color w:val="auto"/>
          <w:lang w:val="hu-HU"/>
        </w:rPr>
        <w:t>névszerinti m</w:t>
      </w:r>
      <w:r w:rsidRPr="00F500A2">
        <w:rPr>
          <w:rFonts w:ascii="Times New Roman" w:eastAsia="Times New Roman" w:hAnsi="Times New Roman" w:cstheme="minorBidi"/>
          <w:b/>
          <w:color w:val="auto"/>
          <w:lang w:val="hu-HU"/>
        </w:rPr>
        <w:t xml:space="preserve">inősített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többségi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szavazás</w:t>
      </w:r>
    </w:p>
    <w:p w:rsidR="00943452" w:rsidRPr="00943452" w:rsidRDefault="00943452" w:rsidP="00943452">
      <w:pPr>
        <w:ind w:left="72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szükséges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D87013" w:rsidRPr="00973259" w:rsidRDefault="00D87013" w:rsidP="00D87013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BE53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  <w:t>Tisztelt Képviselő-testület!</w:t>
      </w:r>
    </w:p>
    <w:p w:rsidR="00D87013" w:rsidRPr="000B4AF5" w:rsidRDefault="00D87013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Az államháztartásról szóló 2011. évi CXCV. sz. törvény 87. §. (1) bekezdésében foglaltak szerint az önkormányzat gazdálkodásának első félévi helyzetéről a Képviselő-testületet tájékoztatni kell.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tájékoztató összeállításának alapját az önállóan működő és önállóan működő, gazdálkodó intézményeink és az Önkormányzat </w:t>
      </w:r>
      <w:r w:rsidR="006831BF">
        <w:rPr>
          <w:rFonts w:ascii="Times New Roman" w:hAnsi="Times New Roman" w:cs="Times New Roman"/>
        </w:rPr>
        <w:t>I.</w:t>
      </w:r>
      <w:r w:rsidRPr="000B4AF5">
        <w:rPr>
          <w:rFonts w:ascii="Times New Roman" w:hAnsi="Times New Roman" w:cs="Times New Roman"/>
        </w:rPr>
        <w:t xml:space="preserve"> félévi elemi beszámolói, valamint az ezekből készített önkormányzati összesítő képezi.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>A tájékoztató fő feladata az előirányzatok időarányos teljesítésének bemutatása, valamint a költségvetési rendeletben megjelenő előirányzatok és a költségvetési egyenleg bemutatása.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E szempontokat figyelembe véve készítettük el a mellékelt táblázatokat és a rövid szöveges értékelésünket.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</w:t>
      </w:r>
      <w:r w:rsidR="00313FEE">
        <w:rPr>
          <w:rFonts w:ascii="Times New Roman" w:hAnsi="Times New Roman" w:cs="Times New Roman"/>
        </w:rPr>
        <w:t>1</w:t>
      </w:r>
      <w:r w:rsidR="00F377B1" w:rsidRPr="00F377B1">
        <w:rPr>
          <w:rFonts w:ascii="Times New Roman" w:hAnsi="Times New Roman" w:cs="Times New Roman"/>
        </w:rPr>
        <w:t>/201</w:t>
      </w:r>
      <w:r w:rsidR="00313FEE">
        <w:rPr>
          <w:rFonts w:ascii="Times New Roman" w:hAnsi="Times New Roman" w:cs="Times New Roman"/>
        </w:rPr>
        <w:t>4</w:t>
      </w:r>
      <w:r w:rsidR="00F377B1" w:rsidRPr="00F377B1">
        <w:rPr>
          <w:rFonts w:ascii="Times New Roman" w:hAnsi="Times New Roman" w:cs="Times New Roman"/>
        </w:rPr>
        <w:t>. (II.</w:t>
      </w:r>
      <w:r w:rsidR="00313FEE">
        <w:rPr>
          <w:rFonts w:ascii="Times New Roman" w:hAnsi="Times New Roman" w:cs="Times New Roman"/>
        </w:rPr>
        <w:t>1</w:t>
      </w:r>
      <w:r w:rsidR="00F377B1">
        <w:rPr>
          <w:rFonts w:ascii="Times New Roman" w:hAnsi="Times New Roman" w:cs="Times New Roman"/>
        </w:rPr>
        <w:t>0.</w:t>
      </w:r>
      <w:r w:rsidR="00F377B1" w:rsidRPr="00F377B1">
        <w:rPr>
          <w:rFonts w:ascii="Times New Roman" w:hAnsi="Times New Roman" w:cs="Times New Roman"/>
        </w:rPr>
        <w:t>)</w:t>
      </w:r>
      <w:r w:rsidR="00F377B1">
        <w:rPr>
          <w:rFonts w:ascii="Times New Roman" w:hAnsi="Times New Roman" w:cs="Times New Roman"/>
        </w:rPr>
        <w:t xml:space="preserve"> </w:t>
      </w:r>
      <w:r w:rsidRPr="000B4AF5">
        <w:rPr>
          <w:rFonts w:ascii="Times New Roman" w:hAnsi="Times New Roman" w:cs="Times New Roman"/>
        </w:rPr>
        <w:t>sz. Kt. rendelettel jóváhagyott 201</w:t>
      </w:r>
      <w:r w:rsidR="00313FEE">
        <w:rPr>
          <w:rFonts w:ascii="Times New Roman" w:hAnsi="Times New Roman" w:cs="Times New Roman"/>
        </w:rPr>
        <w:t>4</w:t>
      </w:r>
      <w:r w:rsidRPr="000B4AF5">
        <w:rPr>
          <w:rFonts w:ascii="Times New Roman" w:hAnsi="Times New Roman" w:cs="Times New Roman"/>
        </w:rPr>
        <w:t xml:space="preserve">. évi költségvetésünk bevételi és kiadási fő összege </w:t>
      </w:r>
      <w:r w:rsidR="00313FEE">
        <w:rPr>
          <w:rFonts w:ascii="Times New Roman" w:hAnsi="Times New Roman" w:cs="Times New Roman"/>
          <w:b/>
          <w:u w:val="single"/>
        </w:rPr>
        <w:t>523</w:t>
      </w:r>
      <w:r w:rsidR="00F377B1">
        <w:rPr>
          <w:rFonts w:ascii="Times New Roman" w:hAnsi="Times New Roman" w:cs="Times New Roman"/>
          <w:b/>
          <w:u w:val="single"/>
        </w:rPr>
        <w:t>.5</w:t>
      </w:r>
      <w:r w:rsidR="00313FEE">
        <w:rPr>
          <w:rFonts w:ascii="Times New Roman" w:hAnsi="Times New Roman" w:cs="Times New Roman"/>
          <w:b/>
          <w:u w:val="single"/>
        </w:rPr>
        <w:t>93</w:t>
      </w:r>
      <w:r w:rsidRPr="000B4AF5">
        <w:rPr>
          <w:rFonts w:ascii="Times New Roman" w:hAnsi="Times New Roman" w:cs="Times New Roman"/>
          <w:b/>
          <w:u w:val="single"/>
        </w:rPr>
        <w:t xml:space="preserve"> </w:t>
      </w:r>
      <w:r w:rsidRPr="000B4AF5">
        <w:rPr>
          <w:rFonts w:ascii="Times New Roman" w:hAnsi="Times New Roman" w:cs="Times New Roman"/>
          <w:u w:val="single"/>
        </w:rPr>
        <w:t>e Ft-ban került</w:t>
      </w:r>
      <w:r w:rsidR="00F377B1">
        <w:rPr>
          <w:rFonts w:ascii="Times New Roman" w:hAnsi="Times New Roman" w:cs="Times New Roman"/>
          <w:u w:val="single"/>
        </w:rPr>
        <w:t xml:space="preserve"> jóváhagyásra</w:t>
      </w:r>
      <w:r w:rsidRPr="000B4AF5">
        <w:rPr>
          <w:rFonts w:ascii="Times New Roman" w:hAnsi="Times New Roman" w:cs="Times New Roman"/>
          <w:u w:val="single"/>
        </w:rPr>
        <w:t>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  <w:u w:val="single"/>
        </w:rPr>
      </w:pPr>
      <w:r w:rsidRPr="000B4AF5">
        <w:rPr>
          <w:rFonts w:ascii="Times New Roman" w:hAnsi="Times New Roman" w:cs="Times New Roman"/>
        </w:rPr>
        <w:t xml:space="preserve">Az </w:t>
      </w:r>
      <w:r w:rsidR="006831BF">
        <w:rPr>
          <w:rFonts w:ascii="Times New Roman" w:hAnsi="Times New Roman" w:cs="Times New Roman"/>
        </w:rPr>
        <w:t>I.</w:t>
      </w:r>
      <w:r w:rsidRPr="000B4AF5">
        <w:rPr>
          <w:rFonts w:ascii="Times New Roman" w:hAnsi="Times New Roman" w:cs="Times New Roman"/>
        </w:rPr>
        <w:t xml:space="preserve"> félév</w:t>
      </w:r>
      <w:r w:rsidR="00F377B1">
        <w:rPr>
          <w:rFonts w:ascii="Times New Roman" w:hAnsi="Times New Roman" w:cs="Times New Roman"/>
        </w:rPr>
        <w:t xml:space="preserve">ben jóváhagyott költségvetési módosítások alapján </w:t>
      </w:r>
      <w:r w:rsidRPr="000B4AF5">
        <w:rPr>
          <w:rFonts w:ascii="Times New Roman" w:hAnsi="Times New Roman" w:cs="Times New Roman"/>
        </w:rPr>
        <w:t>az éves előirányzat</w:t>
      </w:r>
      <w:r w:rsidR="00F377B1">
        <w:rPr>
          <w:rFonts w:ascii="Times New Roman" w:hAnsi="Times New Roman" w:cs="Times New Roman"/>
        </w:rPr>
        <w:t xml:space="preserve"> </w:t>
      </w:r>
      <w:r w:rsidR="00313FEE">
        <w:rPr>
          <w:rFonts w:ascii="Times New Roman" w:hAnsi="Times New Roman" w:cs="Times New Roman"/>
          <w:b/>
          <w:u w:val="single"/>
        </w:rPr>
        <w:t>527</w:t>
      </w:r>
      <w:r w:rsidR="00F377B1">
        <w:rPr>
          <w:rFonts w:ascii="Times New Roman" w:hAnsi="Times New Roman" w:cs="Times New Roman"/>
          <w:b/>
          <w:u w:val="single"/>
        </w:rPr>
        <w:t>.</w:t>
      </w:r>
      <w:r w:rsidR="00313FEE">
        <w:rPr>
          <w:rFonts w:ascii="Times New Roman" w:hAnsi="Times New Roman" w:cs="Times New Roman"/>
          <w:b/>
          <w:u w:val="single"/>
        </w:rPr>
        <w:t>333</w:t>
      </w:r>
      <w:r w:rsidR="00F377B1">
        <w:rPr>
          <w:rFonts w:ascii="Times New Roman" w:hAnsi="Times New Roman" w:cs="Times New Roman"/>
          <w:b/>
          <w:u w:val="single"/>
        </w:rPr>
        <w:t xml:space="preserve"> </w:t>
      </w:r>
      <w:r w:rsidRPr="000B4AF5">
        <w:rPr>
          <w:rFonts w:ascii="Times New Roman" w:hAnsi="Times New Roman" w:cs="Times New Roman"/>
          <w:u w:val="single"/>
        </w:rPr>
        <w:t>e Ft-ra módos</w:t>
      </w:r>
      <w:r w:rsidR="00F377B1">
        <w:rPr>
          <w:rFonts w:ascii="Times New Roman" w:hAnsi="Times New Roman" w:cs="Times New Roman"/>
          <w:u w:val="single"/>
        </w:rPr>
        <w:t>ult</w:t>
      </w:r>
      <w:r w:rsidRPr="000B4AF5">
        <w:rPr>
          <w:rFonts w:ascii="Times New Roman" w:hAnsi="Times New Roman" w:cs="Times New Roman"/>
          <w:u w:val="single"/>
        </w:rPr>
        <w:t xml:space="preserve">. 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 xml:space="preserve">Költségvetésünk </w:t>
      </w:r>
      <w:r w:rsidR="006831BF">
        <w:t>I.</w:t>
      </w:r>
      <w:r w:rsidRPr="000B4AF5">
        <w:t xml:space="preserve"> félévi teljesítése</w:t>
      </w:r>
      <w:proofErr w:type="gramStart"/>
      <w:r w:rsidRPr="000B4AF5">
        <w:t>,:</w:t>
      </w:r>
      <w:proofErr w:type="gramEnd"/>
    </w:p>
    <w:p w:rsidR="000B4AF5" w:rsidRPr="000B4AF5" w:rsidRDefault="000B4AF5" w:rsidP="000B4AF5">
      <w:pPr>
        <w:pStyle w:val="Szvegtrzsbehzssal"/>
        <w:spacing w:after="0" w:line="240" w:lineRule="auto"/>
        <w:jc w:val="both"/>
        <w:rPr>
          <w:u w:val="single"/>
        </w:rPr>
      </w:pPr>
      <w:r w:rsidRPr="000B4AF5">
        <w:tab/>
        <w:t xml:space="preserve">   </w:t>
      </w:r>
      <w:r w:rsidR="00313FEE">
        <w:rPr>
          <w:b/>
          <w:u w:val="single"/>
        </w:rPr>
        <w:t>216</w:t>
      </w:r>
      <w:r w:rsidRPr="000B4AF5">
        <w:rPr>
          <w:b/>
          <w:u w:val="single"/>
        </w:rPr>
        <w:t>.</w:t>
      </w:r>
      <w:r w:rsidR="00313FEE">
        <w:rPr>
          <w:b/>
          <w:u w:val="single"/>
        </w:rPr>
        <w:t>597</w:t>
      </w:r>
      <w:r w:rsidRPr="000B4AF5">
        <w:rPr>
          <w:u w:val="single"/>
        </w:rPr>
        <w:t xml:space="preserve"> e Ft bevétel</w:t>
      </w:r>
    </w:p>
    <w:p w:rsidR="000B4AF5" w:rsidRPr="000B4AF5" w:rsidRDefault="000B4AF5" w:rsidP="000B4AF5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 w:rsidRPr="000B4AF5">
        <w:rPr>
          <w:u w:val="single"/>
        </w:rPr>
        <w:t xml:space="preserve">   </w:t>
      </w:r>
      <w:r w:rsidR="00313FEE">
        <w:rPr>
          <w:b/>
          <w:u w:val="single"/>
        </w:rPr>
        <w:t>209</w:t>
      </w:r>
      <w:r w:rsidRPr="000B4AF5">
        <w:rPr>
          <w:b/>
          <w:u w:val="single"/>
        </w:rPr>
        <w:t>.</w:t>
      </w:r>
      <w:r w:rsidR="00313FEE">
        <w:rPr>
          <w:b/>
          <w:u w:val="single"/>
        </w:rPr>
        <w:t>996</w:t>
      </w:r>
      <w:r w:rsidRPr="000B4AF5">
        <w:rPr>
          <w:u w:val="single"/>
        </w:rPr>
        <w:t xml:space="preserve"> e Ft kiadással </w:t>
      </w:r>
      <w:r w:rsidR="00F377B1">
        <w:rPr>
          <w:u w:val="single"/>
        </w:rPr>
        <w:t>teljesült</w:t>
      </w:r>
      <w:r w:rsidRPr="000B4AF5">
        <w:rPr>
          <w:u w:val="single"/>
        </w:rPr>
        <w:t>.</w:t>
      </w:r>
    </w:p>
    <w:p w:rsidR="000B4AF5" w:rsidRDefault="000B4AF5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Az önkormányzat nyitó pénzkészlete 201</w:t>
      </w:r>
      <w:r w:rsidR="00313FEE">
        <w:rPr>
          <w:sz w:val="24"/>
          <w:szCs w:val="24"/>
        </w:rPr>
        <w:t>4</w:t>
      </w:r>
      <w:r>
        <w:rPr>
          <w:sz w:val="24"/>
          <w:szCs w:val="24"/>
        </w:rPr>
        <w:t xml:space="preserve">. január 01-én: </w:t>
      </w:r>
      <w:r>
        <w:rPr>
          <w:sz w:val="24"/>
          <w:szCs w:val="24"/>
        </w:rPr>
        <w:tab/>
      </w:r>
      <w:r w:rsidR="00527A7C">
        <w:rPr>
          <w:sz w:val="24"/>
          <w:szCs w:val="24"/>
        </w:rPr>
        <w:t>1</w:t>
      </w:r>
      <w:r>
        <w:rPr>
          <w:sz w:val="24"/>
          <w:szCs w:val="24"/>
        </w:rPr>
        <w:t>6.</w:t>
      </w:r>
      <w:r w:rsidR="00527A7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27A7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záró pénzkészlete pedig 201</w:t>
      </w:r>
      <w:r w:rsidR="00313FEE">
        <w:rPr>
          <w:sz w:val="24"/>
          <w:szCs w:val="24"/>
        </w:rPr>
        <w:t>4</w:t>
      </w:r>
      <w:r>
        <w:rPr>
          <w:sz w:val="24"/>
          <w:szCs w:val="24"/>
        </w:rPr>
        <w:t>. június 30-án: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775">
        <w:rPr>
          <w:sz w:val="24"/>
          <w:szCs w:val="24"/>
        </w:rPr>
        <w:t>17.934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bookmarkStart w:id="0" w:name="_GoBack"/>
      <w:bookmarkEnd w:id="0"/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Államháztartásról szóló </w:t>
      </w:r>
      <w:r w:rsidRPr="00984BBE">
        <w:rPr>
          <w:rFonts w:ascii="Times New Roman" w:eastAsiaTheme="minorEastAsia" w:hAnsi="Times New Roman" w:cs="Times New Roman"/>
          <w:bCs/>
          <w:noProof/>
          <w:color w:val="auto"/>
          <w:lang w:val="hu-HU"/>
        </w:rPr>
        <w:t xml:space="preserve">2011. évi CXCV.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törvényben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(továbbiakban Áht.)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előírt feladatának eleget téve Képviselő-testületünk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április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-i ülésén első fordulóban már megtárgyalta 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önkormányzatunk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évre vonatkozó költségvetési elgondolásait. 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Az előterjesztésben leírtak véleményezése után a Képviselő-testület a </w:t>
      </w:r>
      <w:r w:rsidR="00625E24">
        <w:rPr>
          <w:rFonts w:ascii="Times New Roman" w:eastAsia="Times New Roman" w:hAnsi="Times New Roman" w:cs="Times New Roman"/>
          <w:color w:val="auto"/>
          <w:lang w:val="hu-HU"/>
        </w:rPr>
        <w:t>66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V.2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 xml:space="preserve">9.) számú képviselő-testületi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határozatával döntött a költségvetés tervezésének irányelveiről és rögzítette a tervező munka soron lévő feladatait.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intézmények vezetői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meg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kapták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 elkészítéséről szóló, a Jegyző és a Polgármester által jóváhagyott útmutatót, melynek alapján teljes részletességgel kidolgozták elemi szinten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költségvetésüket.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Polgármesteri Hivatal vezetése és az intézményvezetők tételmélységig egyeztették a bevételi és kiadási előirányzatokat. A korrigált költségvetések bevételi és kiadási előirányzatait önkormányzatunk költségvetésébe beépítettük.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Pontosításra kerültek a számításba jöhető források és azok összegei, valamint az anyagi lehetőségekhez igazodóan a felhasználások és azok mértékei.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tervegyeztetések során reális, az intézmények éves szintű működését biztosító költségvetések kerültek véglegesítésre.</w:t>
      </w:r>
    </w:p>
    <w:p w:rsidR="00065DA1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Ismeretes, hogy a Magyar Köztársaság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költségvetését (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4A5107" w:rsidRPr="00065DA1">
        <w:rPr>
          <w:rFonts w:ascii="Times New Roman" w:eastAsia="Times New Roman" w:hAnsi="Times New Roman" w:cs="Times New Roman"/>
          <w:color w:val="auto"/>
          <w:lang w:val="hu-HU"/>
        </w:rPr>
        <w:t>CC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XXX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. törvény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) az Országgyűlés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decemb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r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20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i ülésén hagyta jóvá és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. december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-i Magyar közlönybe került kihirdetésre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Így a tervezés során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ezután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már rendelkezésre álltak a költségvetési törvényben az önkormányzatunkra vonatkozóan megállapított normatív állami hozzájárulások jogcímei és összegei, a megosztott bevételek mértékei és részarányai, valamint a normatív módon elosztott kötött felhasználású támogatások.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Ezen kívül viszont sok központi statisztikailag számított normatíva csak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. év január </w:t>
      </w:r>
      <w:r w:rsidR="00A554A5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5. után volt elérhető Önkormányzatunk részére.</w:t>
      </w: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74AF2" w:rsidRPr="009B5AAE" w:rsidRDefault="00274AF2" w:rsidP="00984BBE">
      <w:pPr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9B5AAE">
        <w:rPr>
          <w:rFonts w:ascii="Times New Roman" w:eastAsia="Times New Roman" w:hAnsi="Times New Roman" w:cs="Times New Roman"/>
          <w:b/>
          <w:color w:val="auto"/>
          <w:lang w:val="hu-HU"/>
        </w:rPr>
        <w:t>A 2013. évi költségvetés tárgyalásai eddig időrendi sorrendben:</w:t>
      </w:r>
    </w:p>
    <w:p w:rsidR="00274AF2" w:rsidRDefault="004A5107" w:rsidP="004A5107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4A5107">
        <w:rPr>
          <w:rFonts w:ascii="Times New Roman" w:eastAsia="Times New Roman" w:hAnsi="Times New Roman" w:cs="Times New Roman"/>
          <w:color w:val="auto"/>
          <w:lang w:val="hu-HU"/>
        </w:rPr>
        <w:t>2013. április 29. a 2014. évi koncepció elfogadása</w:t>
      </w:r>
      <w:r w:rsidR="00274AF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274AF2" w:rsidRDefault="004A5107" w:rsidP="004A5107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4A5107">
        <w:rPr>
          <w:rFonts w:ascii="Times New Roman" w:eastAsia="Times New Roman" w:hAnsi="Times New Roman" w:cs="Times New Roman"/>
          <w:color w:val="auto"/>
          <w:lang w:val="hu-HU"/>
        </w:rPr>
        <w:t>2013. december 2. önkormányzatnál alkalmazott díj és ártételek.</w:t>
      </w:r>
    </w:p>
    <w:p w:rsidR="00F377B1" w:rsidRDefault="00F377B1" w:rsidP="00F377B1">
      <w:pPr>
        <w:pStyle w:val="Listaszerbekezds"/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377B1" w:rsidRDefault="00F377B1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február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n elfogadásra került a költségvetés.</w:t>
      </w:r>
    </w:p>
    <w:p w:rsidR="00F377B1" w:rsidRDefault="0044551E" w:rsidP="0044551E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 xml:space="preserve">április </w:t>
      </w:r>
      <w:r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8</w:t>
      </w:r>
      <w:r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á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 xml:space="preserve"> módosítással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44551E" w:rsidRPr="0044551E" w:rsidRDefault="0044551E" w:rsidP="004A5107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44551E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május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 2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-</w:t>
      </w:r>
      <w:r>
        <w:rPr>
          <w:rFonts w:ascii="Times New Roman" w:eastAsia="Times New Roman" w:hAnsi="Times New Roman" w:cs="Times New Roman"/>
          <w:color w:val="auto"/>
          <w:lang w:val="hu-HU"/>
        </w:rPr>
        <w:t>é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 w:rsidR="00042775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I.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44551E">
        <w:t xml:space="preserve"> </w:t>
      </w:r>
      <w:r w:rsidR="004A5107" w:rsidRPr="004A5107">
        <w:rPr>
          <w:rFonts w:ascii="Times New Roman" w:eastAsia="Times New Roman" w:hAnsi="Times New Roman" w:cs="Times New Roman"/>
          <w:color w:val="auto"/>
          <w:lang w:val="hu-HU"/>
        </w:rPr>
        <w:t>módosítással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F519C" w:rsidRDefault="00FF519C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A3B47" w:rsidRPr="00984BBE" w:rsidRDefault="00984BBE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984BBE">
        <w:rPr>
          <w:sz w:val="24"/>
          <w:szCs w:val="24"/>
        </w:rPr>
        <w:t>A 201</w:t>
      </w:r>
      <w:r w:rsidR="005B1F1B">
        <w:rPr>
          <w:sz w:val="24"/>
          <w:szCs w:val="24"/>
        </w:rPr>
        <w:t>3</w:t>
      </w:r>
      <w:r w:rsidRPr="00984BBE">
        <w:rPr>
          <w:sz w:val="24"/>
          <w:szCs w:val="24"/>
        </w:rPr>
        <w:t xml:space="preserve">. év novemberében, decemberében megtartott Képviselő-testületi és </w:t>
      </w:r>
      <w:r w:rsidR="00E81EC9">
        <w:rPr>
          <w:sz w:val="24"/>
          <w:szCs w:val="24"/>
        </w:rPr>
        <w:t>201</w:t>
      </w:r>
      <w:r w:rsidR="005B1F1B">
        <w:rPr>
          <w:sz w:val="24"/>
          <w:szCs w:val="24"/>
        </w:rPr>
        <w:t>4</w:t>
      </w:r>
      <w:r w:rsidR="00E81EC9">
        <w:rPr>
          <w:sz w:val="24"/>
          <w:szCs w:val="24"/>
        </w:rPr>
        <w:t xml:space="preserve">. év </w:t>
      </w:r>
      <w:r w:rsidR="00614D69">
        <w:t xml:space="preserve">január </w:t>
      </w:r>
      <w:r w:rsidR="005B1F1B">
        <w:t>30</w:t>
      </w:r>
      <w:r w:rsidR="00614D69">
        <w:t>-</w:t>
      </w:r>
      <w:r w:rsidR="00E81EC9">
        <w:t>ei</w:t>
      </w:r>
      <w:r w:rsidR="00614D69">
        <w:t xml:space="preserve"> pénzügyi </w:t>
      </w:r>
      <w:r w:rsidRPr="00984BBE">
        <w:rPr>
          <w:sz w:val="24"/>
          <w:szCs w:val="24"/>
        </w:rPr>
        <w:t xml:space="preserve">bizottsági üléseken elhangzott javaslatokat, észrevételeket </w:t>
      </w:r>
      <w:proofErr w:type="spellStart"/>
      <w:r w:rsidRPr="00984BBE">
        <w:rPr>
          <w:sz w:val="24"/>
          <w:szCs w:val="24"/>
        </w:rPr>
        <w:t>teljeskörűen</w:t>
      </w:r>
      <w:proofErr w:type="spellEnd"/>
      <w:r w:rsidRPr="00984BBE">
        <w:rPr>
          <w:sz w:val="24"/>
          <w:szCs w:val="24"/>
        </w:rPr>
        <w:t xml:space="preserve"> figyelembe vettük a javaslat elkészítésénél.</w:t>
      </w:r>
      <w:r w:rsidR="004A3B47" w:rsidRPr="004A3B47">
        <w:rPr>
          <w:sz w:val="24"/>
          <w:szCs w:val="24"/>
        </w:rPr>
        <w:t xml:space="preserve"> </w:t>
      </w:r>
      <w:r w:rsidR="004A3B47" w:rsidRPr="00984BBE">
        <w:rPr>
          <w:sz w:val="24"/>
          <w:szCs w:val="24"/>
        </w:rPr>
        <w:t xml:space="preserve">A  január 30–i pénzügyi bizottsági </w:t>
      </w:r>
      <w:r w:rsidR="005323A9">
        <w:rPr>
          <w:sz w:val="24"/>
          <w:szCs w:val="24"/>
        </w:rPr>
        <w:t>és a 201</w:t>
      </w:r>
      <w:r w:rsidR="005B1F1B">
        <w:rPr>
          <w:sz w:val="24"/>
          <w:szCs w:val="24"/>
        </w:rPr>
        <w:t>4</w:t>
      </w:r>
      <w:r w:rsidR="005323A9">
        <w:rPr>
          <w:sz w:val="24"/>
          <w:szCs w:val="24"/>
        </w:rPr>
        <w:t xml:space="preserve">. február </w:t>
      </w:r>
      <w:r w:rsidR="005B1F1B">
        <w:rPr>
          <w:sz w:val="24"/>
          <w:szCs w:val="24"/>
        </w:rPr>
        <w:t>03.</w:t>
      </w:r>
      <w:r w:rsidR="005323A9">
        <w:rPr>
          <w:sz w:val="24"/>
          <w:szCs w:val="24"/>
        </w:rPr>
        <w:t xml:space="preserve">-i képviselő-testületi ülésen </w:t>
      </w:r>
      <w:r w:rsidR="004A3B47" w:rsidRPr="00984BBE">
        <w:rPr>
          <w:sz w:val="24"/>
          <w:szCs w:val="24"/>
        </w:rPr>
        <w:t xml:space="preserve">beterjesztésre kerültek </w:t>
      </w:r>
      <w:proofErr w:type="gramStart"/>
      <w:r w:rsidR="004A3B47" w:rsidRPr="00984BBE">
        <w:rPr>
          <w:sz w:val="24"/>
          <w:szCs w:val="24"/>
        </w:rPr>
        <w:t>a</w:t>
      </w:r>
      <w:proofErr w:type="gramEnd"/>
      <w:r w:rsidR="004A3B47" w:rsidRPr="00984BBE">
        <w:rPr>
          <w:sz w:val="24"/>
          <w:szCs w:val="24"/>
        </w:rPr>
        <w:t xml:space="preserve"> 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költségvetési táblák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 költségvetési rendelet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az intézményekkel lefolytatott egyeztetések jegyzőkönyve.</w:t>
      </w:r>
    </w:p>
    <w:p w:rsidR="004A3B47" w:rsidRPr="00984BBE" w:rsidRDefault="004A3B47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F49CA" w:rsidRPr="009F49CA" w:rsidRDefault="009F49CA" w:rsidP="009F49CA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9F49CA">
        <w:rPr>
          <w:sz w:val="24"/>
          <w:szCs w:val="24"/>
        </w:rPr>
        <w:t xml:space="preserve">államháztartásról szóló törvény végrehajtásáról </w:t>
      </w:r>
      <w:r>
        <w:rPr>
          <w:sz w:val="24"/>
          <w:szCs w:val="24"/>
        </w:rPr>
        <w:t xml:space="preserve">intézkedő </w:t>
      </w:r>
      <w:r w:rsidRPr="009F49CA">
        <w:rPr>
          <w:sz w:val="24"/>
          <w:szCs w:val="24"/>
        </w:rPr>
        <w:t xml:space="preserve">368/2011. (XII. 31.) Korm. rendelet </w:t>
      </w:r>
      <w:r>
        <w:rPr>
          <w:sz w:val="24"/>
          <w:szCs w:val="24"/>
        </w:rPr>
        <w:t xml:space="preserve">(továbbiakban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 xml:space="preserve">.) erre vonatkozóan a következőket írja elő: </w:t>
      </w:r>
    </w:p>
    <w:p w:rsidR="009F49CA" w:rsidRPr="00D45053" w:rsidRDefault="00D45053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„</w:t>
      </w:r>
      <w:r w:rsidR="009F49CA" w:rsidRPr="00D45053">
        <w:rPr>
          <w:i/>
          <w:sz w:val="24"/>
          <w:szCs w:val="24"/>
        </w:rPr>
        <w:t xml:space="preserve">26.§ (1) A jegyző a helyi önkormányzat költségvetési koncepcióját a tervezett bevételek, a kötelezettségvállalások és más fizetési kötelezettségek, és a Kormány Áht. 13. § (1) bekezdése szerinti döntései figyelembevételével állítja össze.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költségvetési koncepció tervezetéről a helyi önkormányzatnál működő bizottságok véleményét a szervezeti és működési szabályzatban foglaltak szerint kikéri, és azt a költségvetési koncepció tervezetéhez csatolja. A pénzügyi bizottságnak a költségvetési koncepció tervezetének egészéről véleményt kell alkotnia.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lastRenderedPageBreak/>
        <w:t xml:space="preserve">(3) A költségvetési koncepció tervezetét a képviselő-testület a bizottságok véleményével együtt megtárgyalja, és határozatot hoz a költségvetés-készítés további munkálatairól.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27. § (1) A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képviselő-testület elé terjeszti a bizottságok által megtárgyalt rendelettervezetet, amelyhez csatolja legalább a pénzügyi bizottság írásos véleményét.</w:t>
      </w:r>
      <w:proofErr w:type="gramStart"/>
      <w:r w:rsidR="00D45053" w:rsidRPr="00D45053">
        <w:rPr>
          <w:i/>
          <w:sz w:val="24"/>
          <w:szCs w:val="24"/>
        </w:rPr>
        <w:t>„</w:t>
      </w:r>
      <w:proofErr w:type="gramEnd"/>
    </w:p>
    <w:p w:rsidR="00984BBE" w:rsidRDefault="00984BBE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0D50CB" w:rsidRPr="000D50CB" w:rsidRDefault="000D50CB" w:rsidP="000D50CB">
      <w:pPr>
        <w:pStyle w:val="Szvegtrzs1"/>
        <w:shd w:val="clear" w:color="auto" w:fill="auto"/>
        <w:spacing w:before="0" w:line="240" w:lineRule="auto"/>
        <w:ind w:left="284" w:right="40" w:hanging="261"/>
        <w:rPr>
          <w:i/>
          <w:sz w:val="24"/>
          <w:szCs w:val="24"/>
        </w:rPr>
      </w:pPr>
      <w:r w:rsidRPr="000D50CB">
        <w:rPr>
          <w:sz w:val="24"/>
          <w:szCs w:val="24"/>
        </w:rPr>
        <w:t xml:space="preserve">Az </w:t>
      </w:r>
      <w:proofErr w:type="spellStart"/>
      <w:r w:rsidRPr="000D50CB">
        <w:rPr>
          <w:sz w:val="24"/>
          <w:szCs w:val="24"/>
        </w:rPr>
        <w:t>Áht</w:t>
      </w:r>
      <w:proofErr w:type="spellEnd"/>
      <w:r>
        <w:rPr>
          <w:i/>
          <w:sz w:val="24"/>
          <w:szCs w:val="24"/>
        </w:rPr>
        <w:t xml:space="preserve"> „</w:t>
      </w:r>
      <w:r w:rsidRPr="000D50CB">
        <w:rPr>
          <w:i/>
          <w:sz w:val="24"/>
          <w:szCs w:val="24"/>
        </w:rPr>
        <w:t xml:space="preserve">87. § (1) </w:t>
      </w:r>
      <w:proofErr w:type="gramStart"/>
      <w:r w:rsidRPr="000D50CB">
        <w:rPr>
          <w:i/>
          <w:sz w:val="24"/>
          <w:szCs w:val="24"/>
        </w:rPr>
        <w:t>A</w:t>
      </w:r>
      <w:proofErr w:type="gramEnd"/>
      <w:r w:rsidRPr="000D50CB">
        <w:rPr>
          <w:i/>
          <w:sz w:val="24"/>
          <w:szCs w:val="24"/>
        </w:rPr>
        <w:t xml:space="preserve"> polgármester a helyi önkormányzat gazdálkodásának első félévi helyzetéről szeptember 15-éig, háromnegyed éves helyzetéről a költségvetési koncepció ismertetésekor írásban tájékoztatja a képviselő-testületet. A tájékoztatás tartalmazza a helyi önkormányzat költségvetési rendeletében megjelenő előirányzatok és a költségvetési egyenleg alakulását.</w:t>
      </w:r>
      <w:r>
        <w:rPr>
          <w:i/>
          <w:sz w:val="24"/>
          <w:szCs w:val="24"/>
        </w:rPr>
        <w:t>”</w:t>
      </w:r>
    </w:p>
    <w:p w:rsidR="000D50CB" w:rsidRPr="00984BBE" w:rsidRDefault="000D50CB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984BBE" w:rsidRPr="00984BBE" w:rsidRDefault="00A226D8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>A hivatkozott jogszabály</w:t>
      </w:r>
      <w:r w:rsidR="000D50CB">
        <w:rPr>
          <w:sz w:val="24"/>
          <w:szCs w:val="24"/>
        </w:rPr>
        <w:t>ok</w:t>
      </w:r>
      <w:r>
        <w:rPr>
          <w:sz w:val="24"/>
          <w:szCs w:val="24"/>
        </w:rPr>
        <w:t xml:space="preserve"> alapján a polgármester és a jegyző a feladatait a költségvetés készítésével </w:t>
      </w:r>
      <w:r w:rsidR="000D50CB">
        <w:rPr>
          <w:sz w:val="24"/>
          <w:szCs w:val="24"/>
        </w:rPr>
        <w:t xml:space="preserve">illetve a tájékoztatással </w:t>
      </w:r>
      <w:r>
        <w:rPr>
          <w:sz w:val="24"/>
          <w:szCs w:val="24"/>
        </w:rPr>
        <w:t>kapcsolatosan maximálisan elvégezte.</w:t>
      </w: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Előterjesztésünk és rendelet szerkezeti rendjének kialakításánál és tartalmi előírásainál az Á</w:t>
      </w:r>
      <w:r>
        <w:rPr>
          <w:sz w:val="24"/>
          <w:szCs w:val="24"/>
        </w:rPr>
        <w:t>ht.</w:t>
      </w:r>
      <w:r w:rsidRPr="00BE5A8F">
        <w:rPr>
          <w:sz w:val="24"/>
          <w:szCs w:val="24"/>
        </w:rPr>
        <w:t xml:space="preserve"> törvényben, valamint a költségvetési szervek tervezésének, gazdálkodásának, beszámolásának rendszeréről kiadott Kormányrendeletben leírtak alapján jártunk el.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A médiákból mindenki számára ismeretes, hogy a jelenlegi gazdasági körülmények miatt az Önkormányzatoknál egy nagyobb mértékű átszervezés jelentkezett a 201</w:t>
      </w:r>
      <w:r>
        <w:rPr>
          <w:sz w:val="24"/>
          <w:szCs w:val="24"/>
        </w:rPr>
        <w:t>3</w:t>
      </w:r>
      <w:r w:rsidRPr="00BE5A8F">
        <w:rPr>
          <w:sz w:val="24"/>
          <w:szCs w:val="24"/>
        </w:rPr>
        <w:t xml:space="preserve">. évi </w:t>
      </w:r>
      <w:r w:rsidRPr="00E83E2D">
        <w:rPr>
          <w:sz w:val="24"/>
          <w:szCs w:val="24"/>
        </w:rPr>
        <w:t xml:space="preserve">költségvetésben. 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E83E2D">
        <w:rPr>
          <w:sz w:val="24"/>
          <w:szCs w:val="24"/>
        </w:rPr>
        <w:t>Önkormányzatunk 201</w:t>
      </w:r>
      <w:r w:rsidR="007E21AE">
        <w:rPr>
          <w:sz w:val="24"/>
          <w:szCs w:val="24"/>
        </w:rPr>
        <w:t>4</w:t>
      </w:r>
      <w:r w:rsidRPr="00E83E2D">
        <w:rPr>
          <w:sz w:val="24"/>
          <w:szCs w:val="24"/>
        </w:rPr>
        <w:t>. év</w:t>
      </w:r>
      <w:r w:rsidR="00A16E72" w:rsidRPr="00E83E2D">
        <w:rPr>
          <w:sz w:val="24"/>
          <w:szCs w:val="24"/>
        </w:rPr>
        <w:t>i féléves p</w:t>
      </w:r>
      <w:r w:rsidRPr="00E83E2D">
        <w:rPr>
          <w:sz w:val="24"/>
          <w:szCs w:val="24"/>
        </w:rPr>
        <w:t xml:space="preserve">énzügyi tervének </w:t>
      </w:r>
      <w:r w:rsidR="00A16E72" w:rsidRPr="00E83E2D">
        <w:rPr>
          <w:sz w:val="24"/>
          <w:szCs w:val="24"/>
        </w:rPr>
        <w:t xml:space="preserve">tájékoztatója </w:t>
      </w:r>
      <w:r w:rsidRPr="00E83E2D">
        <w:rPr>
          <w:sz w:val="24"/>
          <w:szCs w:val="24"/>
        </w:rPr>
        <w:t>az idáig részletezettek alapján készült.</w:t>
      </w:r>
    </w:p>
    <w:p w:rsidR="00E83E2D" w:rsidRPr="00E83E2D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Az önkormányzat 201</w:t>
      </w:r>
      <w:r w:rsidR="007E21A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költségvetését a </w:t>
      </w:r>
      <w:proofErr w:type="gram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képviselő-testület működési</w:t>
      </w:r>
      <w:proofErr w:type="gram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hiánnyal fogadta el. A működési hiány a kötelezően ellátandó feladatok – közoktatás, szociális ellátás, városüzemelés - kiadásainak és bevételének különbözetéből adódik. A költségvetési hiány fedezetére az önkormányzat 201</w:t>
      </w:r>
      <w:r w:rsidR="007E21AE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7E21AE" w:rsidRPr="007E21AE">
        <w:rPr>
          <w:rFonts w:ascii="Times New Roman" w:eastAsia="Times New Roman" w:hAnsi="Times New Roman" w:cs="Times New Roman"/>
          <w:color w:val="auto"/>
          <w:lang w:val="hu-HU"/>
        </w:rPr>
        <w:t>CCXXX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törvény 4. számú mellékletében szereplő </w:t>
      </w:r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proofErr w:type="gramStart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A</w:t>
      </w:r>
      <w:proofErr w:type="gramEnd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helyi önkormányzatok kiegészítő támogatásai”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tervezte be bevételként.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önkormányzata jelenleg is forráshiányos a hiány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95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működési és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21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000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beruházási, összesen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116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összegből áll, a 201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költségvetésről szóló 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( II.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.) számú önkormányzati rendelet szerint.</w:t>
      </w:r>
    </w:p>
    <w:p w:rsidR="00E83E2D" w:rsidRPr="007804E3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Az önkormányzat a költségvetés készítésekor törekedett olyan döntéseket hozni, amely a kiadások csökkentését eredményezi, illetve egyes feladatellátások esetében bevétel növekedéssel jár. A tervezett hiányt az önkormányzat átmenetileg likvid hitellel sem finanszírozhatja a Stabilitási törvény feltételei miatt. A tervezett hiányt a bevételi oldalon pályázati lehetőségek kihasználásával, a kiadási oldalon pedig a kiadások további csökkentésével lehet rendezni.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804E3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évi költségvetésről szóló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38776A" w:rsidRPr="007E21AE">
        <w:rPr>
          <w:rFonts w:ascii="Times New Roman" w:eastAsia="Times New Roman" w:hAnsi="Times New Roman" w:cs="Times New Roman"/>
          <w:color w:val="auto"/>
          <w:lang w:val="hu-HU"/>
        </w:rPr>
        <w:t>CCXXX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törvény 4. számú melléklete, illetve a megyei önkormányzati tartalékokról és a helyi önkormányzatok működőképessége megőrzését szolgáló 2013. évi 39/2013. (VII. 31.) BM rendelet alapján az önkormányzatnak lehetősége van pályázat benyújtására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ÖNHIKI-s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támogatás utódjaként megjelölt új </w:t>
      </w:r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„</w:t>
      </w:r>
      <w:proofErr w:type="gramStart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helyi önkormányzatok kiegészítő támogatásai”</w:t>
      </w:r>
      <w:r w:rsidR="00294CE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pályázatra.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A pályázat benyújtásának mellékleteit a 39/2013. (VII. 31.) BM rendelet tartalmazza. A pályázat benyújtására a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 xml:space="preserve">költségvetési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törvény három időpontot határoz meg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 xml:space="preserve"> pályázat 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lastRenderedPageBreak/>
        <w:t>benyújtása a képviselő-testület döntésének megfelelően megtörtént</w:t>
      </w:r>
      <w:proofErr w:type="gramStart"/>
      <w:r w:rsidR="0038776A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év során két alkalommal van lehetősége pályázat benyújtására egy önkormányzatnak.</w:t>
      </w:r>
    </w:p>
    <w:p w:rsidR="00E83E2D" w:rsidRPr="007804E3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BE5A8F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635E50" w:rsidRPr="00635E50" w:rsidRDefault="00635E50" w:rsidP="00CD5C86">
      <w:pP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Bevételek:</w:t>
      </w:r>
    </w:p>
    <w:p w:rsidR="00635E50" w:rsidRDefault="00635E5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4751C" w:rsidRDefault="001F4700" w:rsidP="003F5A8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fenn hivatkozott költségvetésben található ÖNHIKI bevételek csak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ezután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a pályázat elbírálása után kaphatjuk meg, jelenhet meg a költségvetésünkben. </w:t>
      </w:r>
    </w:p>
    <w:p w:rsidR="001F4700" w:rsidRPr="0084751C" w:rsidRDefault="001F470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579E6" w:rsidRPr="00204C28" w:rsidRDefault="008579E6" w:rsidP="00CD5C8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04C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I. Működési bevételek</w:t>
      </w:r>
    </w:p>
    <w:p w:rsidR="00CC3949" w:rsidRPr="00CD5C86" w:rsidRDefault="00CC3949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A működési bevételek kettő fő területből tevődnek össze.</w:t>
      </w:r>
    </w:p>
    <w:p w:rsidR="00CC3949" w:rsidRPr="00CD5C86" w:rsidRDefault="00CC3949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8579E6" w:rsidRPr="00CD5C86" w:rsidRDefault="008579E6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Intézményi működési bevételek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Bevételi előirányzataink az intézményeink által kimunkált, bevételi jogcímek szerint részletezett tervszámokon alapulnak. 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Igyekeztünk intézményeinknél minden számításba jöhető forrást feltárni, a teljességre törekedni és a gazdálkodás egyszerűsítését megtenni.</w:t>
      </w:r>
    </w:p>
    <w:p w:rsidR="004143AE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Intézményi működési bevételek közül </w:t>
      </w:r>
      <w:r w:rsidR="00FF4EAA">
        <w:rPr>
          <w:rFonts w:ascii="Times New Roman" w:eastAsia="Times New Roman" w:hAnsi="Times New Roman" w:cs="Times New Roman"/>
          <w:color w:val="auto"/>
          <w:lang w:val="hu-HU"/>
        </w:rPr>
        <w:t xml:space="preserve">a legnagyobb tételt a konyha bevételei jelentik. Az 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1. számú mellékletben az intézmények működési bevételei jogcímenként jelenek meg. Intézményenkénti bontásban a 2 számú melléklet 1-13 soráig találhatók római I. számnál összesítve.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 xml:space="preserve">Az intézmények működési bevételeinek teljes részletezettsége </w:t>
      </w:r>
      <w:r w:rsidR="00F517FD">
        <w:rPr>
          <w:rFonts w:ascii="Times New Roman" w:eastAsia="Times New Roman" w:hAnsi="Times New Roman" w:cs="Times New Roman"/>
          <w:color w:val="auto"/>
          <w:lang w:val="hu-HU"/>
        </w:rPr>
        <w:t xml:space="preserve">intézményenkénti bontásban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>a 2.</w:t>
      </w:r>
      <w:r w:rsidR="00AC72CD">
        <w:rPr>
          <w:rFonts w:ascii="Times New Roman" w:eastAsia="Times New Roman" w:hAnsi="Times New Roman" w:cs="Times New Roman"/>
          <w:color w:val="auto"/>
          <w:lang w:val="hu-HU"/>
        </w:rPr>
        <w:t>/</w:t>
      </w:r>
      <w:proofErr w:type="gramStart"/>
      <w:r w:rsidR="004143AE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4143AE">
        <w:rPr>
          <w:rFonts w:ascii="Times New Roman" w:eastAsia="Times New Roman" w:hAnsi="Times New Roman" w:cs="Times New Roman"/>
          <w:color w:val="auto"/>
          <w:lang w:val="hu-HU"/>
        </w:rPr>
        <w:t>. számú mellékletben találhatók.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D4C7F" w:rsidRDefault="00AC72CD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mellékletben található első intézmény konyha bevételei három fő részből tevődnek össze</w:t>
      </w:r>
      <w:r w:rsidR="007D4C7F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143AE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étkezési bevételek</w:t>
      </w:r>
    </w:p>
    <w:p w:rsid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rezsiköltség bevételek</w:t>
      </w:r>
    </w:p>
    <w:p w:rsidR="007D4C7F" w:rsidRP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ÁFA bevételek</w:t>
      </w:r>
    </w:p>
    <w:p w:rsidR="00C91179" w:rsidRDefault="007D4C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étkezési költségek további megosztásra kerülnek:</w:t>
      </w:r>
    </w:p>
    <w:p w:rsidR="007D4C7F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teljes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étkezést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(ezek pl. táborozok, munkahelyi étkezők</w:t>
      </w:r>
      <w:r w:rsidR="00162746">
        <w:rPr>
          <w:rFonts w:ascii="Times New Roman" w:eastAsia="Times New Roman" w:hAnsi="Times New Roman" w:cs="Times New Roman"/>
          <w:color w:val="auto"/>
          <w:lang w:val="hu-HU"/>
        </w:rPr>
        <w:t>, egyéb külső étkezők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)</w:t>
      </w:r>
    </w:p>
    <w:p w:rsid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csak anyag költséget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óvodások, tanul</w:t>
      </w:r>
      <w:r w:rsidR="005D4F69">
        <w:rPr>
          <w:rFonts w:ascii="Times New Roman" w:eastAsia="Times New Roman" w:hAnsi="Times New Roman" w:cs="Times New Roman"/>
          <w:color w:val="auto"/>
          <w:lang w:val="hu-HU"/>
        </w:rPr>
        <w:t>ó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k)</w:t>
      </w:r>
    </w:p>
    <w:p w:rsidR="00240BC9" w:rsidRDefault="00240BC9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szociális támogatásba részesülők</w:t>
      </w:r>
    </w:p>
    <w:p w:rsidR="00D71623" w:rsidRP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50 %-os és 100 %-os állami megtérítésben részesülök.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gyermekvédelmi támogatásba részesülők)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5401B" w:rsidRDefault="006831B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I. f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éléves szinten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 xml:space="preserve">időarányosan kisebb 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elmaradás van az önkormányzati bevételekben. Ennek az egyik oka, hogy az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>étkezési igények elmaradás.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25401B" w:rsidRDefault="0025401B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C07" w:rsidRDefault="00094C0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z egyéb étkezők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(</w:t>
      </w:r>
      <w:r>
        <w:rPr>
          <w:rFonts w:ascii="Times New Roman" w:eastAsia="Times New Roman" w:hAnsi="Times New Roman" w:cs="Times New Roman"/>
          <w:color w:val="auto"/>
          <w:lang w:val="hu-HU"/>
        </w:rPr>
        <w:t>teljes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étkezők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kifizetik teljes egészében az étel előállításához szükséges összes költséget (anyag költség, rezsi költség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is). </w:t>
      </w:r>
    </w:p>
    <w:p w:rsidR="00094C07" w:rsidRDefault="00094C0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csak anyag költséget fizetők</w:t>
      </w:r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, mint a nevében is benne van anyagköltséget és </w:t>
      </w:r>
      <w:proofErr w:type="spellStart"/>
      <w:r w:rsidR="00130652"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 fizetik meg. </w:t>
      </w:r>
    </w:p>
    <w:p w:rsidR="00094C07" w:rsidRPr="008E026B" w:rsidRDefault="00094C07" w:rsidP="008E026B">
      <w:pPr>
        <w:jc w:val="both"/>
        <w:rPr>
          <w:rFonts w:ascii="Times New Roman" w:hAnsi="Times New Roman" w:cs="Times New Roman"/>
        </w:rPr>
      </w:pPr>
    </w:p>
    <w:p w:rsidR="00130652" w:rsidRDefault="0065037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Ezen gyerekek esetében az anyagköltséget a szülők fizetik, a rezsi költséget pedig az önkormányzat.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 xml:space="preserve">A rezsi költségek megfizetése az idei évben is feladat finanszírozás alapján történik és nem normatíva alapon.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 rezsi költségre az állam ebben, ez esetben semmilyen egyéb támogatást nem ad. A rezsi költséget az ÁFA visszaigénylések miatt az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konyhának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át kell számláznia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önkormányzat részére </w:t>
      </w:r>
      <w:r>
        <w:rPr>
          <w:rFonts w:ascii="Times New Roman" w:eastAsia="Times New Roman" w:hAnsi="Times New Roman" w:cs="Times New Roman"/>
          <w:color w:val="auto"/>
          <w:lang w:val="hu-HU"/>
        </w:rPr>
        <w:t>ez a konyhánál bevételként szerepel, az önkormányzatnál pedig kiadásként.</w:t>
      </w:r>
      <w:r w:rsidR="00BD7367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130652" w:rsidRDefault="001B3595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>A szociális étkezéshez az állam valamilyen mértékben hozzájárul, a különbözetett itt viszont ez igénybe vevő (a szociálisan rászorult) fizeti meg.</w:t>
      </w:r>
    </w:p>
    <w:p w:rsidR="00542D5A" w:rsidRDefault="00542D5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50%-os és 100%-os megtérítésben részesülők </w:t>
      </w:r>
      <w:r w:rsidR="00F23F63">
        <w:rPr>
          <w:rFonts w:ascii="Times New Roman" w:eastAsia="Times New Roman" w:hAnsi="Times New Roman" w:cs="Times New Roman"/>
          <w:color w:val="auto"/>
          <w:lang w:val="hu-HU"/>
        </w:rPr>
        <w:t xml:space="preserve">esetében az állam egy konkrét </w:t>
      </w:r>
      <w:r w:rsidR="00981F80">
        <w:rPr>
          <w:rFonts w:ascii="Times New Roman" w:eastAsia="Times New Roman" w:hAnsi="Times New Roman" w:cs="Times New Roman"/>
          <w:color w:val="auto"/>
          <w:lang w:val="hu-HU"/>
        </w:rPr>
        <w:t>összeget határoz meg gyerekenként. Ebben az esetben a megadott összegből kell kihozni a gyerekétkeztetést és itt nem kell figyelembe venni, külön-külön, hogy anyag költségről vagy rezsi költségről van-e szó.</w:t>
      </w:r>
    </w:p>
    <w:p w:rsidR="00130652" w:rsidRDefault="00BD736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Önkormányzati Konyha és </w:t>
      </w:r>
      <w:proofErr w:type="gramStart"/>
      <w:r w:rsidRPr="00BD7367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>t a 6./B. számú melléklet tartalmazza.</w:t>
      </w:r>
    </w:p>
    <w:p w:rsidR="00CB4E26" w:rsidRDefault="00CB4E2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 xml:space="preserve"> tavalyi évi gyakorlatnak a könyvvizsgálóval illetve a belsőellenőrzéssel történt egyeztetés után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 rezsiköltségek számlázása 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 xml:space="preserve">külön nem </w:t>
      </w:r>
      <w:r>
        <w:rPr>
          <w:rFonts w:ascii="Times New Roman" w:eastAsia="Times New Roman" w:hAnsi="Times New Roman" w:cs="Times New Roman"/>
          <w:color w:val="auto"/>
          <w:lang w:val="hu-HU"/>
        </w:rPr>
        <w:t>történ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>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meg önkormányzat felé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BD7367" w:rsidRDefault="00BD7367" w:rsidP="00BD7367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második 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K</w:t>
      </w:r>
      <w:r>
        <w:rPr>
          <w:rFonts w:ascii="Times New Roman" w:eastAsia="Times New Roman" w:hAnsi="Times New Roman" w:cs="Times New Roman"/>
          <w:color w:val="auto"/>
          <w:lang w:val="hu-HU"/>
        </w:rPr>
        <w:t>önyvtár és művelődési ház bevételei elsősorban t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>agdíj, bérleti díj,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internet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használat és a rendezvények bevételeiből tevődik össze. Az intézmény összbevétel 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CB4E26" w:rsidRDefault="00BD7367" w:rsidP="00CB4E2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 xml:space="preserve">harmadik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Gondozási központ. B</w:t>
      </w:r>
      <w:r>
        <w:rPr>
          <w:rFonts w:ascii="Times New Roman" w:eastAsia="Times New Roman" w:hAnsi="Times New Roman" w:cs="Times New Roman"/>
          <w:color w:val="auto"/>
          <w:lang w:val="hu-HU"/>
        </w:rPr>
        <w:t>evételei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1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.0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3 </w:t>
      </w:r>
      <w:proofErr w:type="spellStart"/>
      <w:r w:rsidR="00CB4E26">
        <w:rPr>
          <w:rFonts w:ascii="Times New Roman" w:eastAsia="Times New Roman" w:hAnsi="Times New Roman" w:cs="Times New Roman"/>
          <w:color w:val="auto"/>
          <w:lang w:val="hu-HU"/>
        </w:rPr>
        <w:t>eFt-ban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teljesültek.</w:t>
      </w:r>
    </w:p>
    <w:p w:rsidR="007B162C" w:rsidRDefault="008935F2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Szociális étkezés és a gondozási központ 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étkezési bevételek összege megtalálhatók </w:t>
      </w:r>
      <w:proofErr w:type="gramStart"/>
      <w:r w:rsidR="002A01E3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A01E3" w:rsidRPr="00BD7367">
        <w:rPr>
          <w:rFonts w:ascii="Times New Roman" w:eastAsia="Times New Roman" w:hAnsi="Times New Roman" w:cs="Times New Roman"/>
          <w:color w:val="auto"/>
          <w:lang w:val="hu-HU"/>
        </w:rPr>
        <w:t>Önkormányzati Konyha és Étterem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intézmény bevételeinél is. Ez ugyan is egy tovább értékesített szolgáltatásvásárlás. </w:t>
      </w:r>
      <w:r w:rsidR="00F56BDB">
        <w:rPr>
          <w:rFonts w:ascii="Times New Roman" w:eastAsia="Times New Roman" w:hAnsi="Times New Roman" w:cs="Times New Roman"/>
          <w:color w:val="auto"/>
          <w:lang w:val="hu-HU"/>
        </w:rPr>
        <w:t>Ebben az esetben nem végfelhasználó az önkormányzat az étkezés szempontjából, vagyis az étkezőkre tovább hárítja az ÁFA fizetési kötelezettséget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A fenn leírtak alapján </w:t>
      </w:r>
      <w:r w:rsidR="00B92CE0" w:rsidRPr="00B92CE0">
        <w:rPr>
          <w:rFonts w:ascii="Times New Roman" w:eastAsia="Times New Roman" w:hAnsi="Times New Roman" w:cs="Times New Roman"/>
          <w:color w:val="auto"/>
          <w:lang w:val="hu-HU"/>
        </w:rPr>
        <w:t>a Gondozási központ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nál bruttó módon </w:t>
      </w:r>
      <w:proofErr w:type="gramStart"/>
      <w:r w:rsidR="00B92CE0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B92CE0" w:rsidRPr="00B92CE0">
        <w:rPr>
          <w:rFonts w:ascii="Times New Roman" w:eastAsia="Times New Roman" w:hAnsi="Times New Roman" w:cs="Times New Roman"/>
          <w:color w:val="auto"/>
          <w:lang w:val="hu-HU"/>
        </w:rPr>
        <w:t>Önkormányzati Konyha és Étterem intézmény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nél </w:t>
      </w:r>
      <w:r w:rsidR="00A767F7">
        <w:rPr>
          <w:rFonts w:ascii="Times New Roman" w:eastAsia="Times New Roman" w:hAnsi="Times New Roman" w:cs="Times New Roman"/>
          <w:color w:val="auto"/>
          <w:lang w:val="hu-HU"/>
        </w:rPr>
        <w:t>p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edig nettó módon megbontva jelenik meg a bevétel.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072BAB" w:rsidRDefault="00072BAB" w:rsidP="00072BA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negyedik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intézmény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ként a polgármesteri hivatal van feltüntetve, melynek a bevételei nehezen különíthetők el a helyi önkormányzat bevételeitől</w:t>
      </w:r>
      <w:r w:rsidR="00D77124">
        <w:rPr>
          <w:rFonts w:ascii="Times New Roman" w:eastAsia="Times New Roman" w:hAnsi="Times New Roman" w:cs="Times New Roman"/>
          <w:color w:val="auto"/>
          <w:lang w:val="hu-HU"/>
        </w:rPr>
        <w:t>. Ezek a bevételek általában valamilyen közigazgatási, hatósági feladathoz kapcsolódnak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Ez a bevétel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4.036 </w:t>
      </w:r>
      <w:proofErr w:type="spellStart"/>
      <w:r w:rsidR="004624B7">
        <w:rPr>
          <w:rFonts w:ascii="Times New Roman" w:eastAsia="Times New Roman" w:hAnsi="Times New Roman" w:cs="Times New Roman"/>
          <w:color w:val="auto"/>
          <w:lang w:val="hu-HU"/>
        </w:rPr>
        <w:t>e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Ft.-tal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 Ez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több mint az évi tervezett ez elsősorban az osztalék polgármesteri hivatalhoz érkezésének köszönhető, ezért is van a teljesítés 133 %-on. Ezt az utalás majd évközben helyesbíteni kell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7B162C" w:rsidRDefault="007D1D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ötödik intézmény pedig maga a helyi önkormányzat.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Idekerül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minden olyan feladat mely nem jelenik meg a többi intézménynél. Itt főleg az önkormányzat vagyongazdálkodásából származó bevételek illetve tovább számlázott költségek jelennek meg.</w:t>
      </w:r>
      <w:r w:rsidR="00DC7E7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Az összbevételek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802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487858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vagyis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8%-on teljesültek.</w:t>
      </w:r>
    </w:p>
    <w:p w:rsidR="005323A9" w:rsidRPr="002E2AEF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027A0" w:rsidRDefault="00552933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intézményi összbevétel (2./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számú melléklet)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51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049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6027A0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54 %-on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teljesültek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027A0" w:rsidRPr="00CD5C86" w:rsidRDefault="006027A0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Működési bevételeink jogcímek és intézmények szerinti részletezését a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 xml:space="preserve">számú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táblázat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ban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mutatjuk be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  <w:t>2. Önkormányzat sajátos működési bevételei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2.2 Helyi adókból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származó bevételeinket a </w:t>
      </w:r>
      <w:r w:rsidR="00BE5471">
        <w:rPr>
          <w:rFonts w:ascii="Times New Roman" w:eastAsia="Times New Roman" w:hAnsi="Times New Roman" w:cs="Times New Roman"/>
          <w:color w:val="auto"/>
          <w:lang w:val="hu-HU"/>
        </w:rPr>
        <w:t>magánszemélyek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kommunális adójából, iparűzési adóból, idegenforgalmi adóból,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és mezőőri járulék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befizetések képezik.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Tervszámaink kialakításánál figyelembe vettük az elmúlt évben történt tényleges adóbefizetéseket, a december 20-i adófeltöltéseket és az adózóktól szerzett információkat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 illetve a jogszabályi változásokat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A helyi adók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25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335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értékben érkeztek meg az adószámláinkra. Ez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80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%-os bevételnek felel meg.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A tavalyi évi féléves beszámolóban írtam, hogy az 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adóhatóság átszervezésé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 szükséges, mely meg is történt így az eredmények az idei évben már jelentkeznek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EC514B" w:rsidRDefault="00EC514B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2.3. Átengedett központi adók: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lastRenderedPageBreak/>
        <w:t>2.3.1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u w:val="single"/>
          <w:lang w:val="hu-HU"/>
        </w:rPr>
        <w:t>Gépjárműadóból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a helyi magánszemélyek és vállalkozások által befizetett összeg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0 %-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illeti meg önkormányzatunkat.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A teljes összeget az önkormányzat szedi be, de tovább utalási kötelezettsége van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 A bevétel teljesülése 2.8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32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>, 5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%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-ban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valósult meg.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2.4. Bírságok, pótlékok és egyéb sajátos bevételek: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Önkormányzatunknál jellemzően a </w:t>
      </w:r>
      <w:r w:rsidR="00557AB0">
        <w:rPr>
          <w:rFonts w:ascii="Times New Roman" w:eastAsia="Times New Roman" w:hAnsi="Times New Roman" w:cs="Times New Roman"/>
          <w:color w:val="auto"/>
          <w:lang w:val="hu-HU"/>
        </w:rPr>
        <w:t xml:space="preserve">nagyon kicsi és első sorba a helyi adófizetési kötelezettség megszegése miatt jelentkezik.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A pontos összeget nem lehet megállapítani előre, 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eddig bevétel 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1.812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e Ft.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Tervezett működési bevételek összesen </w:t>
      </w:r>
      <w:r w:rsidR="00557AB0">
        <w:rPr>
          <w:rFonts w:ascii="Times New Roman" w:eastAsia="Times New Roman" w:hAnsi="Times New Roman" w:cs="Times New Roman"/>
          <w:b/>
          <w:color w:val="auto"/>
          <w:lang w:val="hu-HU"/>
        </w:rPr>
        <w:t>1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31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.</w:t>
      </w:r>
      <w:r w:rsidR="00441F3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8</w:t>
      </w:r>
      <w:r w:rsidR="003071E9">
        <w:rPr>
          <w:rFonts w:ascii="Times New Roman" w:eastAsia="Times New Roman" w:hAnsi="Times New Roman" w:cs="Times New Roman"/>
          <w:b/>
          <w:bCs/>
          <w:color w:val="auto"/>
          <w:lang w:val="hu-HU"/>
        </w:rPr>
        <w:t>05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 e 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>Ft.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gram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szemben</w:t>
      </w:r>
      <w:proofErr w:type="gram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a tényleges bevétel 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81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028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 volt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ez 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az eredeti tervezetthez képest 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61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%-o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>s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teljesülés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984BBE" w:rsidRPr="00CD5C86" w:rsidRDefault="00984BBE" w:rsidP="00CD5C86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8579E6" w:rsidRPr="00B7291E" w:rsidRDefault="008579E6" w:rsidP="00B7291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627F2" w:rsidRPr="00262AB1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62AB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II. Támogatások</w:t>
      </w:r>
    </w:p>
    <w:p w:rsidR="004627F2" w:rsidRPr="00B7291E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094B9E" w:rsidRDefault="009355D9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 közel időarányosan alakultak. Eltérések a 6. pontban a várható egyéb támogatások emelkedése miatt magasabb. Itt jeleneik meg VIS MAIOR támogatás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10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0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összeggel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mely lehívása csak az elszámolás után lehetséges.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„Egy jövedelem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pótló támogatások állami része</w:t>
      </w:r>
      <w:r>
        <w:rPr>
          <w:rFonts w:ascii="Times New Roman" w:eastAsia="Times New Roman" w:hAnsi="Times New Roman" w:cs="Times New Roman"/>
          <w:color w:val="auto"/>
          <w:lang w:val="hu-HU"/>
        </w:rPr>
        <w:t>”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094B9E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teljesült mely 5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időarányosan. </w:t>
      </w:r>
    </w:p>
    <w:p w:rsidR="00FC3493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támogatásokat összesen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224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916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</w:t>
      </w:r>
      <w:proofErr w:type="spellEnd"/>
      <w:r w:rsidR="009355D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ra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terveztük, mely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118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796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</w:t>
      </w:r>
    </w:p>
    <w:p w:rsidR="00FC3493" w:rsidRDefault="00FC3493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54A52" w:rsidRDefault="00D54A5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III.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és tőke jellegű bevételek</w:t>
      </w:r>
    </w:p>
    <w:p w:rsidR="004627F2" w:rsidRPr="00B7291E" w:rsidRDefault="00D54A52" w:rsidP="00BD287D">
      <w:pPr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önkormányzat 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a felhalmozási és tőke jellegű bevételeinket 0 e Ft-ra terv</w:t>
      </w:r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>e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z</w:t>
      </w:r>
      <w:r w:rsidR="00094B9E">
        <w:rPr>
          <w:rFonts w:ascii="Times New Roman" w:eastAsia="Times New Roman" w:hAnsi="Times New Roman" w:cs="Times New Roman"/>
          <w:bCs/>
          <w:color w:val="auto"/>
          <w:lang w:val="hu-HU"/>
        </w:rPr>
        <w:t>t</w:t>
      </w:r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ük, ezzel szemben 2.911 </w:t>
      </w:r>
      <w:proofErr w:type="spellStart"/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>eFt</w:t>
      </w:r>
      <w:proofErr w:type="spellEnd"/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bevétel történt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B9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IV. Támogatás értékű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tervezett bevételeink teljes mértéke működési jellegű feladataink ellátásához </w:t>
      </w:r>
      <w:proofErr w:type="gramStart"/>
      <w:r w:rsidRPr="00B7291E">
        <w:rPr>
          <w:rFonts w:ascii="Times New Roman" w:eastAsia="Times New Roman" w:hAnsi="Times New Roman" w:cs="Times New Roman"/>
          <w:color w:val="auto"/>
          <w:lang w:val="hu-HU"/>
        </w:rPr>
        <w:t>kerülnek</w:t>
      </w:r>
      <w:proofErr w:type="gramEnd"/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átvételre az 1. sz. melléklet IV. fejezetében felsorolt szervektől és a részletezett jogcímek szerint.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4627F2" w:rsidRPr="00B7291E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önkormányzatnak itt jelenik meg a bevételek közül a legnagyobb kiesése, mely az ÖNHIKI BM-es pályázat késő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 xml:space="preserve">bbi elbírálásának </w:t>
      </w:r>
      <w:r>
        <w:rPr>
          <w:rFonts w:ascii="Times New Roman" w:eastAsia="Times New Roman" w:hAnsi="Times New Roman" w:cs="Times New Roman"/>
          <w:color w:val="auto"/>
          <w:lang w:val="hu-HU"/>
        </w:rPr>
        <w:t>tudható be.</w:t>
      </w: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V. Megtérülések</w:t>
      </w:r>
    </w:p>
    <w:p w:rsidR="004627F2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A korábbi években lakásépítéshez, lakásvásárláshoz és lakásfelújításokhoz nyújtott 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felhalmozási célú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önkormányzati kölcsöntámogatások törlesztő részletei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 jelenhetnének meg itt ezen a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jogcím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>en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Ez a bevétel is a tervezett 0 Ft-on alakult. </w:t>
      </w:r>
    </w:p>
    <w:p w:rsidR="00176DB7" w:rsidRDefault="00176DB7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26822" w:rsidRPr="00B7291E" w:rsidRDefault="00B2682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VI. Pénzforgalom nélküli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>Betervezésre került a 201</w:t>
      </w:r>
      <w:r w:rsidR="002572FB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 évi szabad pénzmaradvány várható összege. Az összeg felosztása a jogszabálynak megfelelően a zárszámadással együtt történ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t meg 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>április végén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proofErr w:type="spellStart"/>
      <w:r w:rsidR="00C80AB0">
        <w:rPr>
          <w:rFonts w:ascii="Times New Roman" w:eastAsia="Times New Roman" w:hAnsi="Times New Roman" w:cs="Times New Roman"/>
          <w:color w:val="auto"/>
          <w:lang w:val="hu-HU"/>
        </w:rPr>
        <w:t>Ez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el</w:t>
      </w:r>
      <w:proofErr w:type="spell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az összeggel a költségvetési sarokszám módosításra került. A pénzmaradvány felosztását a képviselő-testület 201</w:t>
      </w:r>
      <w:r w:rsidR="002572FB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. április 29-i ülésén fogadta el.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VIII. </w:t>
      </w:r>
      <w:proofErr w:type="gram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A</w:t>
      </w:r>
      <w:proofErr w:type="gram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költségvetési bevételek 201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. </w:t>
      </w:r>
      <w:r w:rsidR="006831B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félévben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összesen: 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</w:t>
      </w:r>
      <w:r w:rsidR="00C118A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6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597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volt</w:t>
      </w:r>
    </w:p>
    <w:p w:rsidR="002D07A2" w:rsidRPr="00B7291E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proofErr w:type="gramStart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IX.  Finanszírozási</w:t>
      </w:r>
      <w:proofErr w:type="gramEnd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bevétel</w:t>
      </w:r>
    </w:p>
    <w:p w:rsidR="002D07A2" w:rsidRPr="002D07A2" w:rsidRDefault="002D07A2" w:rsidP="00094B9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D07A2">
        <w:rPr>
          <w:rFonts w:ascii="Times New Roman" w:eastAsia="Times New Roman" w:hAnsi="Times New Roman" w:cs="Times New Roman"/>
          <w:color w:val="auto"/>
          <w:lang w:val="hu-HU"/>
        </w:rPr>
        <w:t>A felhalmozási hitelfelvétel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nél</w:t>
      </w:r>
      <w:r w:rsidRPr="002D07A2">
        <w:rPr>
          <w:rFonts w:ascii="Times New Roman" w:eastAsia="Times New Roman" w:hAnsi="Times New Roman" w:cs="Times New Roman"/>
          <w:color w:val="auto"/>
          <w:lang w:val="hu-HU"/>
        </w:rPr>
        <w:t xml:space="preserve"> jelenik meg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a strand beruházás 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 xml:space="preserve">önrésze 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ez 21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000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 xml:space="preserve"> e Ft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volt, 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de itt jelenleg azért nem jelenik meg, mert ennek felvétele a tavalyi évben történt meg</w:t>
      </w:r>
      <w:proofErr w:type="gramStart"/>
      <w:r w:rsidR="004F632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2D07A2" w:rsidRPr="002D07A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E700D4" w:rsidRDefault="004627F2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lastRenderedPageBreak/>
        <w:t xml:space="preserve">A Önkormányzat 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összes módosított tervezett bevétele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: </w:t>
      </w:r>
      <w:r w:rsidR="00981557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527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981557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033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r w:rsidR="0023516F" w:rsidRPr="0023516F">
        <w:rPr>
          <w:rFonts w:ascii="Times New Roman" w:eastAsia="Times New Roman" w:hAnsi="Times New Roman" w:cs="Times New Roman"/>
          <w:color w:val="auto"/>
          <w:lang w:val="hu-HU"/>
        </w:rPr>
        <w:t>ezze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l szemben 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>16.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597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. érkezett be. A tervezett bevételeket viszont csökkenteni kell </w:t>
      </w:r>
      <w:proofErr w:type="gram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ÖNHIKI-re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benyújtandó összeggel (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116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) é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További csökkentéseket is figyelembe lehetne venni, mint a jelenleg még ki nem számlázott, de biztos bevételekkel, mint: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Telenor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bérleti díj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Vodafone bérleti díj.</w:t>
      </w:r>
    </w:p>
    <w:p w:rsidR="0023516F" w:rsidRP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stb.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0407E" w:rsidRDefault="0040407E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2. számú melléklet </w:t>
      </w:r>
      <w:r w:rsidR="006C61E8">
        <w:rPr>
          <w:sz w:val="24"/>
          <w:szCs w:val="24"/>
        </w:rPr>
        <w:t>„</w:t>
      </w:r>
      <w:r w:rsidRPr="0040407E">
        <w:rPr>
          <w:sz w:val="24"/>
          <w:szCs w:val="24"/>
        </w:rPr>
        <w:t>Önállóan működő és gazdálkodó, valamint önállóan működő intézmények bevételei 201</w:t>
      </w:r>
      <w:r w:rsidR="00981557">
        <w:rPr>
          <w:sz w:val="24"/>
          <w:szCs w:val="24"/>
        </w:rPr>
        <w:t>4</w:t>
      </w:r>
      <w:r w:rsidR="006C61E8">
        <w:rPr>
          <w:sz w:val="24"/>
          <w:szCs w:val="24"/>
        </w:rPr>
        <w:t>.</w:t>
      </w:r>
      <w:r w:rsidRPr="0040407E">
        <w:rPr>
          <w:sz w:val="24"/>
          <w:szCs w:val="24"/>
        </w:rPr>
        <w:t xml:space="preserve"> évben</w:t>
      </w:r>
      <w:r w:rsidR="006C61E8">
        <w:rPr>
          <w:sz w:val="24"/>
          <w:szCs w:val="24"/>
        </w:rPr>
        <w:t>” című intézményenkénti bontásban mutatja be a bevételeket. Az 1. számú bevételeket osztja meg intézményenként.</w:t>
      </w:r>
    </w:p>
    <w:p w:rsidR="007B3E0A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7B3E0A" w:rsidRPr="00B7291E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Kiadások</w:t>
      </w:r>
    </w:p>
    <w:p w:rsid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61E8">
        <w:rPr>
          <w:rFonts w:ascii="Times New Roman" w:eastAsia="Times New Roman" w:hAnsi="Times New Roman" w:cs="Times New Roman"/>
          <w:color w:val="auto"/>
          <w:lang w:val="hu-HU"/>
        </w:rPr>
        <w:t>A ki</w:t>
      </w:r>
      <w:r>
        <w:rPr>
          <w:rFonts w:ascii="Times New Roman" w:eastAsia="Times New Roman" w:hAnsi="Times New Roman" w:cs="Times New Roman"/>
          <w:color w:val="auto"/>
          <w:lang w:val="hu-HU"/>
        </w:rPr>
        <w:t>adások két fő részre bontható „működési, fenntartási kiadások” illetve felhalmozási kiadásokra.</w:t>
      </w:r>
    </w:p>
    <w:p w:rsidR="006C61E8" w:rsidRP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Működési, fenntartási kiadások</w:t>
      </w:r>
    </w:p>
    <w:p w:rsidR="00E54761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költségvetést összeállító munkánk legjelentősebb és talán legfelelősségteljesebb feladatát képezte az önkormányzatunk által ellátandó - egyrészt a kötelezően, másrészt az önként vállalt - feladatok feltételeinek és pénzügyi hátterének megteremtése, a település zavartalan üzemeltetésének, meglévő intézményeink működésének biztosítása. A kiadások nagy részét az intézmények működéséhez szükséges bér és járulékai teszi ki továbbra is, melynek összege 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. évben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összegre volt tervezve, ezzel szemben a teljesülés 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86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177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0 </w:t>
      </w:r>
      <w:proofErr w:type="spellStart"/>
      <w:r w:rsidR="00E54761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54761">
        <w:rPr>
          <w:rFonts w:ascii="Times New Roman" w:eastAsia="Times New Roman" w:hAnsi="Times New Roman" w:cs="Times New Roman"/>
          <w:color w:val="auto"/>
          <w:lang w:val="hu-HU"/>
        </w:rPr>
        <w:t>. összegen realizálódott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8559CA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tervezethez képest a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z emelkedés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okai 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a kéthónapos tanulók foglalkoztatása és a jelentős létszámnövekedés a közfoglalkoztatottak esetében. A képviselő-testület ezekről az összegekről már hozott döntést, de még a költségvetésen nem került átvezetésre. A költségvetési módosítást a következő hónapban tervezzük a képviselő-testület elé hozni.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62784E" w:rsidRPr="00635E50" w:rsidRDefault="0062784E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működési és felhalmozási kiadásokat fő címenként a 3. számú melléklet tartalmazza. A kiadásokat intézményenként pedig a 4. számú melléklet tartalmazza.  </w:t>
      </w:r>
    </w:p>
    <w:p w:rsidR="00635E50" w:rsidRP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személyi juttatás tartalmazza, a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 xml:space="preserve">közfoglalkoztatottak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bérét is, amely összegeket az állami költségvetésből pályázat útján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>a munkaügyi központon keresztül kapjuk meg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 xml:space="preserve">, ugyan </w:t>
      </w:r>
      <w:proofErr w:type="gramStart"/>
      <w:r w:rsidR="007040E8">
        <w:rPr>
          <w:rFonts w:ascii="Times New Roman" w:eastAsia="Times New Roman" w:hAnsi="Times New Roman" w:cs="Times New Roman"/>
          <w:color w:val="auto"/>
          <w:lang w:val="hu-HU"/>
        </w:rPr>
        <w:t>úgy</w:t>
      </w:r>
      <w:proofErr w:type="gramEnd"/>
      <w:r w:rsidR="007040E8">
        <w:rPr>
          <w:rFonts w:ascii="Times New Roman" w:eastAsia="Times New Roman" w:hAnsi="Times New Roman" w:cs="Times New Roman"/>
          <w:color w:val="auto"/>
          <w:lang w:val="hu-HU"/>
        </w:rPr>
        <w:t xml:space="preserve"> mint a diákok bérét.</w:t>
      </w:r>
    </w:p>
    <w:p w:rsidR="00635E50" w:rsidRPr="00635E50" w:rsidRDefault="0062784E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>A 4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sz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melléklet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e t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ájékoztató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t is tartalmaz 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az önkormányzat 201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évi költségvetés létszámadatainak változásához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, összehasonlítva az előző évvel.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Az önkormányzat létszámkerete az intézményi részletezés szerint összesen 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71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fő. </w:t>
      </w:r>
      <w:r w:rsidR="00766873">
        <w:rPr>
          <w:rFonts w:ascii="Times New Roman" w:eastAsia="Times New Roman" w:hAnsi="Times New Roman" w:cs="Times New Roman"/>
          <w:bCs/>
          <w:color w:val="auto"/>
          <w:lang w:val="hu-HU"/>
        </w:rPr>
        <w:t>A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z Óvoda tervezett átvétele miatt emelkedett az intézményi működési létszám a tavalyi 39 fővel szemben 5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főre. 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Közfoglalkoztatottak létszámát jogszabályi változások miatt 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a költségvetés tervezésekor még nem álltak rendelkezésre. Ezért a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 tavalyi 15 fő helyett 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>. évben ez 18 fő le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 xml:space="preserve">tt betervezve. </w:t>
      </w:r>
      <w:r w:rsidR="00B17B54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közfoglalkoztatási létszám 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emelésére további lehetőséget kapott az önkormányzat.</w:t>
      </w:r>
    </w:p>
    <w:p w:rsidR="00635E50" w:rsidRPr="00635E50" w:rsidRDefault="00635E50" w:rsidP="00635E50">
      <w:pPr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Az önkormányzat 201</w:t>
      </w:r>
      <w:r w:rsidR="00B17B5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költségvetési elgondolásainak megtárgyalása során hozott Képviselő-testületi határozatban foglaltak, valamint az intézményeink részére meg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adott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tervezési útmutató alapján egységes szempontok szerint készültek el intézményeink költségvetés-tervezetei, melyekben részletesen kimunkálásra kerültek az intézmény-üzemeltetés költségigényei.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lastRenderedPageBreak/>
        <w:t>A tervtárgyalások során az intézmények által kidolgozott tervszámok a jogos szükségletek és a reálisan figyelembe vehető lehetőségek alapján kisebb-nagyobb mértékben módosításra kerültek. Az egyeztetésekről jegyzőkönyvek készültek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, melyeket a pénzügyi bizottság részére is kiküldtünk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Minden intézményünknél elismerésre és beépítésre kerültek az elmúlt évben, illetve az ez év január 1-jétől bekövetkezett, vagy előírt feladatváltozások költségkihatásai.</w:t>
      </w:r>
    </w:p>
    <w:p w:rsidR="00635E50" w:rsidRPr="00635E50" w:rsidRDefault="00635E50" w:rsidP="00635E50">
      <w:pPr>
        <w:keepNext/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Így többek között:</w:t>
      </w:r>
    </w:p>
    <w:p w:rsidR="00635E50" w:rsidRPr="00635E50" w:rsidRDefault="00635E50" w:rsidP="00635E50">
      <w:p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-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>a munkáltatót terhelő bérfejlesztéssel összefüggő bérjárulék növekedések</w:t>
      </w:r>
    </w:p>
    <w:p w:rsidR="00635E50" w:rsidRPr="00635E50" w:rsidRDefault="00635E50" w:rsidP="00635E50">
      <w:pPr>
        <w:numPr>
          <w:ilvl w:val="0"/>
          <w:numId w:val="7"/>
        </w:num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központi támogatásból biztosított 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 xml:space="preserve">korrekciós kereset kiegészítés.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2012. január 01-től a helyi önkormányzatot és az önkormányzati (polgármesteri) hivatalt külön költségvetési egységként kell kezelni, külön költségvetést kell készíteni részére. </w:t>
      </w: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helyi önkormányzat költségvetését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5. számú melléklet tartalmazza.</w:t>
      </w:r>
    </w:p>
    <w:p w:rsidR="008C0B60" w:rsidRDefault="0065456F" w:rsidP="008C0B6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(5. sz. melléklet)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részletezi </w:t>
      </w:r>
      <w:r>
        <w:rPr>
          <w:rFonts w:ascii="Times New Roman" w:eastAsia="Times New Roman" w:hAnsi="Times New Roman" w:cs="Times New Roman"/>
          <w:color w:val="auto"/>
          <w:lang w:val="hu-HU"/>
        </w:rPr>
        <w:t>dologi kiadás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okat is</w:t>
      </w:r>
    </w:p>
    <w:p w:rsidR="0065456F" w:rsidRDefault="0065456F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A25EF9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Polgármesteri </w:t>
      </w:r>
      <w:r w:rsidR="004A7CB6">
        <w:rPr>
          <w:rFonts w:ascii="Times New Roman" w:eastAsia="Times New Roman" w:hAnsi="Times New Roman" w:cs="Times New Roman"/>
          <w:color w:val="auto"/>
          <w:lang w:val="hu-HU"/>
        </w:rPr>
        <w:t xml:space="preserve">(Önkormányzati)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Hivatal költségvetésében (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melléklet) részletesen szerepeltetjük a szociális ellátásokról alkotott helyi rendeletünkben foglaltak szerinti ellátási formák várható szükségletei. Ez a 201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szociális juttatásoknál közel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00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</w:t>
      </w:r>
      <w:proofErr w:type="gram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Ft-tal</w:t>
      </w:r>
      <w:proofErr w:type="gram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egy kicsivel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magasabb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(600 </w:t>
      </w:r>
      <w:proofErr w:type="spellStart"/>
      <w:r w:rsidR="008C0B60">
        <w:rPr>
          <w:rFonts w:ascii="Times New Roman" w:eastAsia="Times New Roman" w:hAnsi="Times New Roman" w:cs="Times New Roman"/>
          <w:color w:val="auto"/>
          <w:lang w:val="hu-HU"/>
        </w:rPr>
        <w:t>eFt.-tal</w:t>
      </w:r>
      <w:proofErr w:type="spellEnd"/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mint a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tervezettben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szereplő összeg.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635E50" w:rsidRDefault="00172D29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Ez az összeg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mint ahogy előre is jeleztük változhat jelenleg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337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44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%-os a teljesülés. Már most látszik, hogy éves szinten ez az összeg nőni fog. A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önkormányzat gazdálkodásától függetlenül változhat. Az önkormányzattól elkerült az időskorúak járadéka, ápolási díj megállapítás alanyi jogon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közgyógy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megállapítás alanyi jogon. A méltányossági megállapítás ugyanúgy önkormányzati hatásk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ö</w:t>
      </w:r>
      <w:r>
        <w:rPr>
          <w:rFonts w:ascii="Times New Roman" w:eastAsia="Times New Roman" w:hAnsi="Times New Roman" w:cs="Times New Roman"/>
          <w:color w:val="auto"/>
          <w:lang w:val="hu-HU"/>
        </w:rPr>
        <w:t>r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b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e</w:t>
      </w:r>
      <w:r>
        <w:rPr>
          <w:rFonts w:ascii="Times New Roman" w:eastAsia="Times New Roman" w:hAnsi="Times New Roman" w:cs="Times New Roman"/>
          <w:color w:val="auto"/>
          <w:lang w:val="hu-HU"/>
        </w:rPr>
        <w:t>n maradt.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Ha a szociális ráfordítások </w:t>
      </w:r>
      <w:proofErr w:type="gram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nőnek</w:t>
      </w:r>
      <w:proofErr w:type="gramEnd"/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akkor a bevételeink is a 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„Egy jövedelempótló támogatások állami része”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537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teljesült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mutat (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már most is az 1. számú bevételi táblázatba.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intézményi működési kiadásokkal kapcsolatos számszaki előirányzatainkat intézményi részletezésben, valamint önkormányzati </w:t>
      </w:r>
      <w:proofErr w:type="spell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összesenben</w:t>
      </w:r>
      <w:proofErr w:type="spell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 táblázat szemlélteti, míg a Polgármesteri Hivatal részletes költségvetését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mellékleten mutatjuk be.</w:t>
      </w:r>
    </w:p>
    <w:p w:rsidR="00635E50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intézmények kiadásainak bemutatása: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</w:t>
      </w:r>
    </w:p>
    <w:p w:rsidR="005154B6" w:rsidRDefault="005B08B2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Községi </w:t>
      </w:r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Konyha és </w:t>
      </w:r>
      <w:proofErr w:type="gramStart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6./B. számú melléklet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Gondozási Központ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6./C. számú melléklet</w:t>
      </w:r>
    </w:p>
    <w:p w:rsidR="005154B6" w:rsidRP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Kastély</w:t>
      </w:r>
      <w:r w:rsidR="00C60AF2">
        <w:rPr>
          <w:rFonts w:ascii="Times New Roman" w:eastAsia="Times New Roman" w:hAnsi="Times New Roman" w:cs="Times New Roman"/>
          <w:color w:val="auto"/>
          <w:lang w:val="hu-HU"/>
        </w:rPr>
        <w:t>kert</w:t>
      </w: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Óvoda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6./D. számú melléklet</w:t>
      </w:r>
    </w:p>
    <w:p w:rsidR="00172D29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táblázatokban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találhatók. Ezen táblázatok bemutatását a jogszabály nem írja elő.</w:t>
      </w:r>
    </w:p>
    <w:p w:rsidR="00172D29" w:rsidRPr="00635E50" w:rsidRDefault="00172D29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Képviselő-testület az önkormányzati intézmények költségvetési támogatását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EF49CC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377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ezer Ft-ban határozza meg a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számú melléklet szerinti részletezettségben.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 xml:space="preserve"> A tényleges önkormányzati hozzájárulás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eddig 5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641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>. volt.</w:t>
      </w:r>
    </w:p>
    <w:p w:rsidR="005154B6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507496" w:rsidRDefault="004D6B6A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előirányzataiban szereplő közösségi rendezvények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nagy része már megvalósult.</w:t>
      </w:r>
    </w:p>
    <w:p w:rsidR="00507496" w:rsidRDefault="0050749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304DC3" w:rsidRPr="00A25EF9" w:rsidRDefault="00195F7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bevételi oldalon a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költségvetéskor egyéni képviselői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módosító tételek a hiányt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módosította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és a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várható támogatások közzé betervez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ett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összeget, a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. évi költségvetési törvény 4. számú melléklet 1./IV. –</w:t>
      </w:r>
      <w:proofErr w:type="spellStart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ben</w:t>
      </w:r>
      <w:proofErr w:type="spellEnd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 xml:space="preserve"> meghatározott 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r w:rsidR="00000EEA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helyi önkormányzatok működőképessége megőrzését szolgáló kiegészítő támogatásra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”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összeget növelték.</w:t>
      </w:r>
    </w:p>
    <w:p w:rsidR="009958AF" w:rsidRDefault="009958AF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kiadások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szinten felhalmozási kiadásként javasolt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897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 összegű előirányzatunk közvetlenül megjelenik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a helyi önkormányzat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költségvetési kiadásai között. 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beruházás nagyobbik része a már elnyert pályázatból megvalósítandó strand beruházás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i hitel visszafizetése lenne a pályázat megérkezése után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Jelenleg nincs betervezve nagyobb f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>elújítási feladat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, de ezek bekövetkezésére azért számítani kell. </w:t>
      </w:r>
    </w:p>
    <w:p w:rsidR="003837E4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Önkormányzatunk feladatonkénti felhalmozási kiadásait 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7.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sz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mellékletünkön mutatjuk be.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3837E4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proofErr w:type="spellStart"/>
      <w:r w:rsidR="006831BF">
        <w:rPr>
          <w:rFonts w:ascii="Times New Roman" w:eastAsia="Times New Roman" w:hAnsi="Times New Roman" w:cs="Times New Roman"/>
          <w:color w:val="auto"/>
          <w:lang w:val="hu-HU"/>
        </w:rPr>
        <w:t>I.</w:t>
      </w:r>
      <w:r>
        <w:rPr>
          <w:rFonts w:ascii="Times New Roman" w:eastAsia="Times New Roman" w:hAnsi="Times New Roman" w:cs="Times New Roman"/>
          <w:color w:val="auto"/>
          <w:lang w:val="hu-HU"/>
        </w:rPr>
        <w:t>félévben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megvalósult beruházások </w:t>
      </w:r>
    </w:p>
    <w:p w:rsidR="00635E50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837E4">
        <w:rPr>
          <w:rFonts w:ascii="Times New Roman" w:eastAsia="Times New Roman" w:hAnsi="Times New Roman" w:cs="Times New Roman"/>
          <w:color w:val="auto"/>
          <w:lang w:val="hu-HU"/>
        </w:rPr>
        <w:t xml:space="preserve">a strand beruházás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befejezése</w:t>
      </w:r>
    </w:p>
    <w:p w:rsid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orvosi rendelő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akadálymentesítése</w:t>
      </w:r>
    </w:p>
    <w:p w:rsidR="003837E4" w:rsidRP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 xml:space="preserve">VIS MAIOR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felújítás. </w:t>
      </w:r>
    </w:p>
    <w:p w:rsidR="003837E4" w:rsidRPr="00635E50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táblázatban az Önkormányzatnál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kerülnek bemutatásra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>, ebbe a tervhez képest nincs változás.</w:t>
      </w:r>
    </w:p>
    <w:p w:rsidR="008579E6" w:rsidRPr="00635E50" w:rsidRDefault="00CF6C8B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9. számú táblázat azokat a beruházásokat tartalmazza melyekhez a </w:t>
      </w:r>
      <w:r w:rsidRPr="00CF6C8B">
        <w:rPr>
          <w:sz w:val="24"/>
          <w:szCs w:val="24"/>
        </w:rPr>
        <w:t>Stabilitási tv.</w:t>
      </w:r>
      <w:r w:rsidR="006F2585" w:rsidRPr="006F2585">
        <w:rPr>
          <w:sz w:val="24"/>
          <w:szCs w:val="24"/>
        </w:rPr>
        <w:t xml:space="preserve"> </w:t>
      </w:r>
      <w:r w:rsidR="006F2585">
        <w:rPr>
          <w:sz w:val="24"/>
          <w:szCs w:val="24"/>
        </w:rPr>
        <w:t>(</w:t>
      </w:r>
      <w:r w:rsidR="006F2585" w:rsidRPr="006F2585">
        <w:rPr>
          <w:sz w:val="24"/>
          <w:szCs w:val="24"/>
        </w:rPr>
        <w:t>Magyarország gazdasági stabilitásáról 2011. évi CXCIV. törvény</w:t>
      </w:r>
      <w:r w:rsidR="006F2585">
        <w:rPr>
          <w:sz w:val="24"/>
          <w:szCs w:val="24"/>
        </w:rPr>
        <w:t>)</w:t>
      </w:r>
      <w:r w:rsidRPr="00CF6C8B">
        <w:rPr>
          <w:sz w:val="24"/>
          <w:szCs w:val="24"/>
        </w:rPr>
        <w:t xml:space="preserve"> 3. § (1) bekezdése</w:t>
      </w:r>
      <w:r>
        <w:rPr>
          <w:sz w:val="24"/>
          <w:szCs w:val="24"/>
        </w:rPr>
        <w:t xml:space="preserve"> </w:t>
      </w:r>
      <w:r w:rsidRPr="00CF6C8B">
        <w:rPr>
          <w:sz w:val="24"/>
          <w:szCs w:val="24"/>
        </w:rPr>
        <w:t>szerinti adósságot keletkeztető ügylet megkötése válik vagy válhat szükségessé</w:t>
      </w:r>
      <w:r>
        <w:rPr>
          <w:sz w:val="24"/>
          <w:szCs w:val="24"/>
        </w:rPr>
        <w:t xml:space="preserve"> a 201</w:t>
      </w:r>
      <w:r w:rsidR="00FF51C3">
        <w:rPr>
          <w:sz w:val="24"/>
          <w:szCs w:val="24"/>
        </w:rPr>
        <w:t>4</w:t>
      </w:r>
      <w:r>
        <w:rPr>
          <w:sz w:val="24"/>
          <w:szCs w:val="24"/>
        </w:rPr>
        <w:t>. év folyamán. Ez nem azt jelenti, hogy ezt a szerződést köteles az önkormányzat megkötni, csak lehetőséget tartalmaz.</w:t>
      </w:r>
      <w:r w:rsidR="003837E4">
        <w:rPr>
          <w:sz w:val="24"/>
          <w:szCs w:val="24"/>
        </w:rPr>
        <w:t xml:space="preserve"> Jelenleg még nem történt meg a hitel felvétele.</w:t>
      </w:r>
    </w:p>
    <w:p w:rsidR="006F2585" w:rsidRDefault="006F2585" w:rsidP="00C52F14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8579E6" w:rsidRPr="00635E50" w:rsidRDefault="00EE073E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11. számú táblázat </w:t>
      </w:r>
      <w:r w:rsidR="00A504F8" w:rsidRPr="00A504F8">
        <w:rPr>
          <w:sz w:val="24"/>
          <w:szCs w:val="24"/>
        </w:rPr>
        <w:t>az adósságot keletkeztető ügyletekhez történő hozzájárulás részletes szabályairól</w:t>
      </w:r>
      <w:r w:rsidR="00A504F8">
        <w:rPr>
          <w:sz w:val="24"/>
          <w:szCs w:val="24"/>
        </w:rPr>
        <w:t xml:space="preserve"> szóló </w:t>
      </w:r>
      <w:r w:rsidR="00A504F8" w:rsidRPr="00A504F8">
        <w:rPr>
          <w:sz w:val="24"/>
          <w:szCs w:val="24"/>
        </w:rPr>
        <w:t>353/2011. (XII. 30.) Korm. rendelet</w:t>
      </w:r>
      <w:r w:rsidR="00A504F8">
        <w:rPr>
          <w:sz w:val="24"/>
          <w:szCs w:val="24"/>
        </w:rPr>
        <w:t xml:space="preserve"> alapján az </w:t>
      </w:r>
      <w:r w:rsidR="00A504F8" w:rsidRPr="00EE073E">
        <w:rPr>
          <w:sz w:val="24"/>
          <w:szCs w:val="24"/>
        </w:rPr>
        <w:t>adósságot keletkeztető ügyletekből és kezességvállalásokból fennálló kötelezettségeinek</w:t>
      </w:r>
      <w:r w:rsidR="00A504F8">
        <w:rPr>
          <w:sz w:val="24"/>
          <w:szCs w:val="24"/>
        </w:rPr>
        <w:t xml:space="preserve"> meghatározásához a saját bevételek alakulását is be kell mutatni az önkormányzatnak.</w:t>
      </w:r>
    </w:p>
    <w:p w:rsidR="008579E6" w:rsidRDefault="00C55E9D" w:rsidP="00635E50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12. számú melléklet tartalmazza Tápiógyörgye önkormányzat 2013. évi számviteli mérlegét. </w:t>
      </w:r>
    </w:p>
    <w:p w:rsid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13. számú melléklet </w:t>
      </w:r>
      <w:r w:rsidRPr="00C55E9D">
        <w:rPr>
          <w:sz w:val="24"/>
          <w:szCs w:val="24"/>
        </w:rPr>
        <w:t>Tápiógyörgye Községi Önkormányzat által adott közvetett támogatások</w:t>
      </w:r>
      <w:r>
        <w:rPr>
          <w:sz w:val="24"/>
          <w:szCs w:val="24"/>
        </w:rPr>
        <w:t xml:space="preserve">at mutatja be. </w:t>
      </w:r>
    </w:p>
    <w:p w:rsidR="00C55E9D" w:rsidRP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i/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Ámr</w:t>
      </w:r>
      <w:proofErr w:type="spellEnd"/>
      <w:r>
        <w:rPr>
          <w:sz w:val="24"/>
          <w:szCs w:val="24"/>
        </w:rPr>
        <w:t xml:space="preserve">. </w:t>
      </w:r>
      <w:r w:rsidRPr="00C55E9D">
        <w:rPr>
          <w:sz w:val="24"/>
          <w:szCs w:val="24"/>
        </w:rPr>
        <w:t xml:space="preserve">28. § </w:t>
      </w:r>
      <w:r>
        <w:rPr>
          <w:sz w:val="24"/>
          <w:szCs w:val="24"/>
        </w:rPr>
        <w:t>alapján „</w:t>
      </w:r>
      <w:r w:rsidRPr="00C55E9D">
        <w:rPr>
          <w:i/>
          <w:sz w:val="24"/>
          <w:szCs w:val="24"/>
        </w:rPr>
        <w:t xml:space="preserve">Az Áht. 24. § (4) bekezdés c) pontja szerinti közvetett támogatásokat legalább az alábbi részletezettségben kell bemutatni: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a</w:t>
      </w:r>
      <w:proofErr w:type="gramEnd"/>
      <w:r w:rsidRPr="00C55E9D">
        <w:rPr>
          <w:i/>
          <w:sz w:val="24"/>
          <w:szCs w:val="24"/>
        </w:rPr>
        <w:t xml:space="preserve">) az ellátottak térítési díjának, kártérítésének méltányossági alapon történő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b) a lakosság részére lakásépítéshez, lakásfelújításhoz nyújtott kölcsönök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c) a helyi adónál, gépjárműadónál biztosított kedvezmény, mentesség összege adónemenként,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d) a helyiségek, eszközök hasznosításából származó bevételből nyújtott kedvezmény, mentesség összege, és </w:t>
      </w:r>
    </w:p>
    <w:p w:rsidR="00A504F8" w:rsidRPr="00C55E9D" w:rsidRDefault="00C55E9D" w:rsidP="00C55E9D">
      <w:pPr>
        <w:pStyle w:val="Szvegtrzs1"/>
        <w:shd w:val="clear" w:color="auto" w:fill="auto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e</w:t>
      </w:r>
      <w:proofErr w:type="gramEnd"/>
      <w:r w:rsidRPr="00C55E9D">
        <w:rPr>
          <w:i/>
          <w:sz w:val="24"/>
          <w:szCs w:val="24"/>
        </w:rPr>
        <w:t>) az egyéb nyújtott kedvezmény vagy kölcsön elengedésének összege.”</w:t>
      </w:r>
    </w:p>
    <w:p w:rsidR="003C1E65" w:rsidRPr="003C1E65" w:rsidRDefault="003C1E65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14.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többéves elkötelezettségeit mutatja be. Jelenleg már csak a fénymásoló lízing díja van, mely </w:t>
      </w:r>
      <w:r w:rsidR="00424DC9">
        <w:rPr>
          <w:sz w:val="24"/>
          <w:szCs w:val="24"/>
        </w:rPr>
        <w:t xml:space="preserve">a napokban fut ki </w:t>
      </w:r>
      <w:r>
        <w:rPr>
          <w:sz w:val="24"/>
          <w:szCs w:val="24"/>
        </w:rPr>
        <w:t>várhatóan</w:t>
      </w:r>
      <w:r w:rsidR="00424D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kimutatás az Áht. </w:t>
      </w:r>
      <w:r w:rsidRPr="003C1E65">
        <w:rPr>
          <w:sz w:val="24"/>
          <w:szCs w:val="24"/>
        </w:rPr>
        <w:t xml:space="preserve">24. § </w:t>
      </w:r>
      <w:r>
        <w:rPr>
          <w:sz w:val="24"/>
          <w:szCs w:val="24"/>
        </w:rPr>
        <w:t>alapján készült el.</w:t>
      </w:r>
    </w:p>
    <w:p w:rsidR="003C1E65" w:rsidRPr="003C1E65" w:rsidRDefault="003C1E65" w:rsidP="003C1E65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3C1E65">
        <w:rPr>
          <w:i/>
          <w:sz w:val="24"/>
          <w:szCs w:val="24"/>
        </w:rPr>
        <w:t xml:space="preserve">„(4) A költségvetés előterjesztésekor a képviselő-testület részére tájékoztatásul a következő mérlegeket és kimutatásokat kell – szöveges indokolással együtt – bemutatni: 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proofErr w:type="gramStart"/>
      <w:r w:rsidRPr="003C1E65">
        <w:rPr>
          <w:i/>
          <w:sz w:val="24"/>
          <w:szCs w:val="24"/>
        </w:rPr>
        <w:t>a</w:t>
      </w:r>
      <w:proofErr w:type="gramEnd"/>
      <w:r w:rsidRPr="003C1E65">
        <w:rPr>
          <w:i/>
          <w:sz w:val="24"/>
          <w:szCs w:val="24"/>
        </w:rPr>
        <w:t xml:space="preserve">) </w:t>
      </w:r>
      <w:proofErr w:type="spellStart"/>
      <w:r w:rsidRPr="003C1E65">
        <w:rPr>
          <w:i/>
          <w:sz w:val="24"/>
          <w:szCs w:val="24"/>
        </w:rPr>
        <w:t>a</w:t>
      </w:r>
      <w:proofErr w:type="spellEnd"/>
      <w:r w:rsidRPr="003C1E65">
        <w:rPr>
          <w:i/>
          <w:sz w:val="24"/>
          <w:szCs w:val="24"/>
        </w:rPr>
        <w:t xml:space="preserve"> helyi önkormányzat költségvetési mérlegét közgazdasági tagolásban, előirányzat felhasználási tervét, „ </w:t>
      </w:r>
      <w:r w:rsidRPr="003C1E65">
        <w:rPr>
          <w:sz w:val="24"/>
          <w:szCs w:val="24"/>
        </w:rPr>
        <w:t xml:space="preserve">(Ez a </w:t>
      </w:r>
      <w:r>
        <w:rPr>
          <w:sz w:val="24"/>
          <w:szCs w:val="24"/>
        </w:rPr>
        <w:t>12. számú táblázat</w:t>
      </w:r>
      <w:r w:rsidRPr="003C1E65">
        <w:rPr>
          <w:sz w:val="24"/>
          <w:szCs w:val="24"/>
        </w:rPr>
        <w:t>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lastRenderedPageBreak/>
        <w:t>b) a többéves kihatással járó döntések számszerűsítését évenkénti bontásban és összesítve, és</w:t>
      </w:r>
      <w:r w:rsidRPr="003C1E65">
        <w:rPr>
          <w:sz w:val="24"/>
          <w:szCs w:val="24"/>
        </w:rPr>
        <w:t xml:space="preserve"> (ez a 14. számú táblázat)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c) a közvetett támogatásokat – így különösen adóelengedéseket, adókedvezményeket – tartalmazó kimutatást.</w:t>
      </w:r>
      <w:r w:rsidRPr="003C1E65">
        <w:rPr>
          <w:sz w:val="24"/>
          <w:szCs w:val="24"/>
        </w:rPr>
        <w:t xml:space="preserve"> (ez a 1</w:t>
      </w:r>
      <w:r>
        <w:rPr>
          <w:sz w:val="24"/>
          <w:szCs w:val="24"/>
        </w:rPr>
        <w:t>3</w:t>
      </w:r>
      <w:r w:rsidRPr="003C1E65">
        <w:rPr>
          <w:sz w:val="24"/>
          <w:szCs w:val="24"/>
        </w:rPr>
        <w:t>. számú táblázat)</w:t>
      </w:r>
    </w:p>
    <w:p w:rsidR="002F2E31" w:rsidRPr="00635E50" w:rsidRDefault="00817C0A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15.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hitelállományának alakulását mutatja be. Jelenleg az önkormányzat nem rendelkezik hitelállománnyal.</w:t>
      </w:r>
    </w:p>
    <w:p w:rsidR="002F2E31" w:rsidRDefault="00574314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1</w:t>
      </w:r>
      <w:r w:rsidR="00F82DB9">
        <w:rPr>
          <w:sz w:val="24"/>
          <w:szCs w:val="24"/>
        </w:rPr>
        <w:t>6</w:t>
      </w:r>
      <w:r>
        <w:rPr>
          <w:sz w:val="24"/>
          <w:szCs w:val="24"/>
        </w:rPr>
        <w:t xml:space="preserve">. számú melléklet </w:t>
      </w:r>
      <w:r w:rsidRPr="00574314">
        <w:rPr>
          <w:sz w:val="24"/>
          <w:szCs w:val="24"/>
        </w:rPr>
        <w:t>Tápiógyörgye Község Önkormányzatának 201</w:t>
      </w:r>
      <w:r w:rsidR="00FF51C3">
        <w:rPr>
          <w:sz w:val="24"/>
          <w:szCs w:val="24"/>
        </w:rPr>
        <w:t>4</w:t>
      </w:r>
      <w:r w:rsidRPr="00574314">
        <w:rPr>
          <w:sz w:val="24"/>
          <w:szCs w:val="24"/>
        </w:rPr>
        <w:t>. évi előirányzat-felhasználási és pénzügyi likviditási ütemterv</w:t>
      </w:r>
      <w:r>
        <w:rPr>
          <w:sz w:val="24"/>
          <w:szCs w:val="24"/>
        </w:rPr>
        <w:t>ét mutatja be.</w:t>
      </w:r>
      <w:r w:rsidR="00424DC9">
        <w:rPr>
          <w:sz w:val="24"/>
          <w:szCs w:val="24"/>
        </w:rPr>
        <w:t xml:space="preserve"> Ebbe megint nincs a tervekben változás. </w:t>
      </w:r>
    </w:p>
    <w:p w:rsidR="00F82DB9" w:rsidRPr="00635E50" w:rsidRDefault="00F82DB9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17. számú melléklet </w:t>
      </w:r>
      <w:r w:rsidRPr="00574314">
        <w:rPr>
          <w:sz w:val="24"/>
          <w:szCs w:val="24"/>
        </w:rPr>
        <w:t>Tápiógyörgye Község Önkormányzatának</w:t>
      </w:r>
      <w:r>
        <w:rPr>
          <w:sz w:val="24"/>
          <w:szCs w:val="24"/>
        </w:rPr>
        <w:t xml:space="preserve"> a 201</w:t>
      </w:r>
      <w:r w:rsidR="00FF51C3">
        <w:rPr>
          <w:sz w:val="24"/>
          <w:szCs w:val="24"/>
        </w:rPr>
        <w:t>4</w:t>
      </w:r>
      <w:r>
        <w:rPr>
          <w:sz w:val="24"/>
          <w:szCs w:val="24"/>
        </w:rPr>
        <w:t>. évi környezetvédelmi alap felhasználást mutatja be „</w:t>
      </w:r>
      <w:r w:rsidRPr="00F82DB9">
        <w:rPr>
          <w:i/>
          <w:sz w:val="24"/>
          <w:szCs w:val="24"/>
        </w:rPr>
        <w:t>a környezet védelmének általános szabályairól</w:t>
      </w:r>
      <w:r>
        <w:rPr>
          <w:i/>
          <w:sz w:val="24"/>
          <w:szCs w:val="24"/>
        </w:rPr>
        <w:t>”</w:t>
      </w:r>
      <w:r w:rsidRPr="00F82DB9">
        <w:rPr>
          <w:i/>
          <w:sz w:val="24"/>
          <w:szCs w:val="24"/>
        </w:rPr>
        <w:t xml:space="preserve"> </w:t>
      </w:r>
      <w:r w:rsidRPr="00F82DB9">
        <w:rPr>
          <w:sz w:val="24"/>
          <w:szCs w:val="24"/>
        </w:rPr>
        <w:t>szóló 1995. évi LIII. törvény 58. § (5) bekezdése alapján</w:t>
      </w:r>
      <w:r>
        <w:rPr>
          <w:sz w:val="24"/>
          <w:szCs w:val="24"/>
        </w:rPr>
        <w:t>.</w:t>
      </w:r>
      <w:r w:rsidR="001404D6">
        <w:rPr>
          <w:sz w:val="24"/>
          <w:szCs w:val="24"/>
        </w:rPr>
        <w:t xml:space="preserve"> A környezetvédelmi alapban jelenleg nem található összeg.</w:t>
      </w:r>
    </w:p>
    <w:p w:rsidR="002F2E31" w:rsidRPr="00635E50" w:rsidRDefault="002F2E31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574314" w:rsidRPr="00574314" w:rsidRDefault="00574314" w:rsidP="000A1C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>A</w:t>
      </w:r>
      <w:r w:rsidR="000A1C62" w:rsidRPr="000A1C62">
        <w:t xml:space="preserve"> </w:t>
      </w:r>
      <w:r w:rsidR="000A1C62" w:rsidRPr="000A1C62">
        <w:rPr>
          <w:rFonts w:ascii="Times New Roman" w:eastAsia="Times New Roman" w:hAnsi="Times New Roman" w:cs="Times New Roman"/>
          <w:b/>
          <w:color w:val="auto"/>
          <w:lang w:val="hu-HU"/>
        </w:rPr>
        <w:t>jogszabályi megfeleltetések alapján</w:t>
      </w: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költségvetési mellékletben az alábbi táblázatoknak, kimutatásoknak kell szerepelni: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bevételei (1.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a),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d-e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(1)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bevételei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évben (2.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(4) bekezdése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költségvetési kiadásainak alakulása (3.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(2) a) pontja alapján)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kiadásai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évben (4.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(3-4) bekezdése alapján)</w:t>
      </w:r>
    </w:p>
    <w:p w:rsidR="006D1F3E" w:rsidRPr="00574314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Helyi önkormányzat kiadási előirányzatai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(</w:t>
      </w:r>
      <w:r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(3) bekezdés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bb-bc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6D1F3E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Önkormányzati Hivatal kiadási előirányzatai (Polgármesteri hivatal) (</w:t>
      </w:r>
      <w:r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számú melléklet)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felhalmozási kiadásai (</w:t>
      </w:r>
      <w:r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Önkormányzatnál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(</w:t>
      </w:r>
      <w:r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bd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azon fejlesztési céljait, amelyek megvalósításához a Stabilitási tv. 3. § (1) bekezdése szerinti adósságot keletkeztető ügylet megkötése válik vagy válhat szükségessé. (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f)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költségvetési támogatása. (</w:t>
      </w:r>
      <w:r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</w:t>
      </w:r>
      <w:proofErr w:type="gram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melléklet )</w:t>
      </w:r>
      <w:proofErr w:type="gramEnd"/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 adósságot keletkeztető ügyletekből és kezességvállalásokból fennálló kötelezettségeinek és a 353/2011. (XII.30.)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korm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Rendeletben meghatározott saját bevételeinek alakulása. (11.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g)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évi költségvetésének számviteli mérlege. (12.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c) pontja alapján 24. § (4) bekezdés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Községi Önkormányzat által adott közvetett támogatások (kedvezmények)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terve. (13.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c)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alapján, 28. §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Több éves elkötelezettséggel járó kiadási tételek évenkénti bontásban (14. számú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b)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Az Önkormányzati hitelek alakulása (15. számú melléklet)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Önkormányzatának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előirányzat-felhasználási és pénzügyi likviditási ütemterve. (16.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a) pontja alapján)</w:t>
      </w:r>
    </w:p>
    <w:p w:rsidR="002D2AF2" w:rsidRPr="00574314" w:rsidRDefault="002D2AF2" w:rsidP="002D2A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ápiógyörgye Község Önkormányzatának a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. évi környezetvédelmi alap felhasználás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a. (17. számú melléklet 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„a környezet védelmének általános szabályairól” szóló 1995. évi LIII. törvény 58. § (5) bekezdése alapján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</w:p>
    <w:p w:rsidR="00984BBE" w:rsidRPr="00984BBE" w:rsidRDefault="00984BBE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BE538C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Tisztelt Képviselő-testület!</w:t>
      </w: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Kérem a Tisztelt Képviselő-testületet előterjesztésem megtárgyalására és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a mellékelt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rendelet tervezett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elfogadására.</w:t>
      </w:r>
    </w:p>
    <w:p w:rsidR="00B62EB9" w:rsidRDefault="00B62EB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color w:val="auto"/>
          <w:lang w:val="hu-HU"/>
        </w:rPr>
        <w:t>Tápiógyörgye, 201</w:t>
      </w:r>
      <w:r w:rsidR="00225C4F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133783">
        <w:rPr>
          <w:rFonts w:ascii="Times New Roman" w:eastAsia="Times New Roman" w:hAnsi="Times New Roman" w:cs="Times New Roman"/>
          <w:color w:val="auto"/>
          <w:lang w:val="hu-HU"/>
        </w:rPr>
        <w:t>szeptember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33783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087E4F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Pr="00BE538C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E538C" w:rsidRPr="00BE538C" w:rsidRDefault="00FE4231" w:rsidP="00BE538C">
      <w:pPr>
        <w:ind w:firstLine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Varró István </w:t>
      </w:r>
    </w:p>
    <w:p w:rsidR="00BE538C" w:rsidRPr="00BE538C" w:rsidRDefault="00FE4231" w:rsidP="00BE538C">
      <w:pPr>
        <w:ind w:left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polgármester</w:t>
      </w:r>
      <w:proofErr w:type="gramEnd"/>
    </w:p>
    <w:p w:rsidR="006D1F3E" w:rsidRPr="00BE538C" w:rsidRDefault="006D1F3E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8744CD" w:rsidRPr="00BE538C" w:rsidRDefault="008744CD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előterjesztést törvényességi szempontból ellenőrizte: </w:t>
      </w:r>
    </w:p>
    <w:p w:rsidR="00BF2B9A" w:rsidRDefault="00BE538C" w:rsidP="00BE538C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proofErr w:type="gramStart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>dr.</w:t>
      </w:r>
      <w:proofErr w:type="gramEnd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Papp Antal jegyző</w:t>
      </w:r>
    </w:p>
    <w:p w:rsidR="00BF2B9A" w:rsidRDefault="00BF2B9A">
      <w:pPr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br w:type="page"/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lastRenderedPageBreak/>
        <w:t>Határozati javaslat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………./201</w:t>
      </w:r>
      <w:r w:rsidR="00225C4F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. (……..)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Tápiógyörgye Község Önkormányzat 201</w:t>
      </w:r>
      <w:r w:rsidR="00225C4F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. évi I. félévi pénzügyi teljesítésének elfogadásáról.</w:t>
      </w: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Tápiógyörgye Község Önkormányzat Képviselő-testülete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Magyarország Alaptörvényének a helyi önkormányzatokról szóló 32. cikk (1) bekezdés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>b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) pontja, a Magyarország helyi önkormányzatairól szóló 2011. évi CLXXXIX. törvény 42.§ 1 pontjában és 111. § (2) bekezdésében biztosított jogkörében eljárva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– figyelemmel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az Államháztartásról szóló 2011. évi CXCV törvény (továbbiakban: Áht.) 23 §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-ának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(2) bekezdése </w:t>
      </w:r>
      <w:proofErr w:type="gram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a.</w:t>
      </w:r>
      <w:proofErr w:type="gram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) b.) pontj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ára és a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368/2011 (XII.31.) Kormányrendelet (továbbiakban 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Ávr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.) 24.§. (1) és (2) bekezdésére, valamint Magyarország 201</w:t>
      </w:r>
      <w:r w:rsidR="00225C4F">
        <w:rPr>
          <w:rFonts w:ascii="Times New Roman" w:eastAsia="Times New Roman" w:hAnsi="Times New Roman" w:cs="Times New Roman"/>
          <w:i/>
          <w:color w:val="auto"/>
          <w:lang w:val="hu-HU"/>
        </w:rPr>
        <w:t>4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 évi központi költségvetéséről szóló 201</w:t>
      </w:r>
      <w:r w:rsidR="00225C4F">
        <w:rPr>
          <w:rFonts w:ascii="Times New Roman" w:eastAsia="Times New Roman" w:hAnsi="Times New Roman" w:cs="Times New Roman"/>
          <w:i/>
          <w:color w:val="auto"/>
          <w:lang w:val="hu-HU"/>
        </w:rPr>
        <w:t>3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. évi </w:t>
      </w:r>
      <w:r w:rsidR="00225C4F" w:rsidRPr="00225C4F">
        <w:rPr>
          <w:rFonts w:ascii="Times New Roman" w:eastAsia="Times New Roman" w:hAnsi="Times New Roman" w:cs="Times New Roman"/>
          <w:i/>
          <w:color w:val="auto"/>
          <w:lang w:val="hu-HU"/>
        </w:rPr>
        <w:t>CCXXX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 törvényben (továbbiakban: költségvetési törvény) foglaltakra –</w:t>
      </w:r>
      <w:r w:rsidR="00CC5FA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a </w:t>
      </w: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kapott felhatalmazás alapján az alábbi határozatot hozza: </w:t>
      </w:r>
    </w:p>
    <w:p w:rsid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B11324" w:rsidRPr="00594EB9" w:rsidRDefault="00B11324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594EB9" w:rsidRPr="00594EB9" w:rsidRDefault="00594EB9" w:rsidP="00594EB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Tápiógyörgye Községi Önkormányzat Képviselő-testülete </w:t>
      </w:r>
      <w:r w:rsidR="00FB38F8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tudomásul veszi a 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tájékoztatott a 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Tápiógyörgye Község Önkormányzat 201</w:t>
      </w:r>
      <w:r w:rsidR="00225C4F">
        <w:rPr>
          <w:rFonts w:ascii="Times New Roman" w:eastAsia="Times New Roman" w:hAnsi="Times New Roman" w:cs="Times New Roman"/>
          <w:bCs/>
          <w:i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. évi I. félévi pénzügyi teljesítéséről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. </w:t>
      </w:r>
    </w:p>
    <w:p w:rsidR="00594EB9" w:rsidRPr="00594EB9" w:rsidRDefault="00594EB9" w:rsidP="00594EB9">
      <w:pPr>
        <w:ind w:left="720"/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Felelős: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Varró István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>polgármester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Közreműködik: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>Dr. Papp Antal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Határidő: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>201</w:t>
      </w:r>
      <w:r w:rsidR="00225C4F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B11324">
        <w:rPr>
          <w:rFonts w:ascii="Times New Roman" w:eastAsia="Times New Roman" w:hAnsi="Times New Roman" w:cs="Times New Roman"/>
          <w:color w:val="auto"/>
          <w:lang w:val="hu-HU"/>
        </w:rPr>
        <w:t>szeptember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30.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Tápiógyörgye, 201</w:t>
      </w:r>
      <w:r w:rsidR="00225C4F">
        <w:rPr>
          <w:rFonts w:ascii="Times New Roman" w:eastAsia="Times New Roman" w:hAnsi="Times New Roman" w:cs="Times New Roman"/>
          <w:b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. szeptember 12.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Varró István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</w:t>
      </w:r>
      <w:proofErr w:type="gramStart"/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polgármester</w:t>
      </w:r>
      <w:proofErr w:type="gramEnd"/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A határozatról értesül: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Varró István polgármester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Pest Megyei Kormányhivatal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Valamennyi képviselő helyben.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Dr. Papp Antal jegyző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Pénzügyi iroda</w:t>
      </w: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.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0"/>
          <w:szCs w:val="20"/>
          <w:lang w:val="hu-HU" w:eastAsia="en-US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Irattár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p w:rsidR="00BE538C" w:rsidRPr="00BE538C" w:rsidRDefault="00BE538C" w:rsidP="00BF2B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sectPr w:rsidR="00BE538C" w:rsidRPr="00BE538C" w:rsidSect="00CD5C86">
      <w:footerReference w:type="default" r:id="rId9"/>
      <w:pgSz w:w="11905" w:h="16837" w:code="9"/>
      <w:pgMar w:top="1418" w:right="1418" w:bottom="1418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CE" w:rsidRDefault="00723ACE" w:rsidP="00CC3949">
      <w:r>
        <w:separator/>
      </w:r>
    </w:p>
  </w:endnote>
  <w:endnote w:type="continuationSeparator" w:id="0">
    <w:p w:rsidR="00723ACE" w:rsidRDefault="00723ACE" w:rsidP="00C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8" w:rsidRDefault="007040E8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[2014. I. félévi költségvetési tájékoztató]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27A7C" w:rsidRPr="00527A7C">
      <w:rPr>
        <w:rFonts w:asciiTheme="majorHAnsi" w:eastAsiaTheme="majorEastAsia" w:hAnsiTheme="majorHAnsi" w:cstheme="majorBidi"/>
        <w:noProof/>
        <w:lang w:val="hu-HU"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  <w:lang w:val="hu-HU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CE" w:rsidRDefault="00723ACE" w:rsidP="00CC3949">
      <w:r>
        <w:separator/>
      </w:r>
    </w:p>
  </w:footnote>
  <w:footnote w:type="continuationSeparator" w:id="0">
    <w:p w:rsidR="00723ACE" w:rsidRDefault="00723ACE" w:rsidP="00CC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2E0"/>
    <w:multiLevelType w:val="hybridMultilevel"/>
    <w:tmpl w:val="86E22CAC"/>
    <w:lvl w:ilvl="0" w:tplc="3A7624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923"/>
    <w:multiLevelType w:val="hybridMultilevel"/>
    <w:tmpl w:val="5CAED5F4"/>
    <w:lvl w:ilvl="0" w:tplc="276236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0060A9D"/>
    <w:multiLevelType w:val="hybridMultilevel"/>
    <w:tmpl w:val="1F963F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A318B"/>
    <w:multiLevelType w:val="hybridMultilevel"/>
    <w:tmpl w:val="9DAAECE0"/>
    <w:lvl w:ilvl="0" w:tplc="73D66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4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3"/>
    <w:rsid w:val="00000EEA"/>
    <w:rsid w:val="00005514"/>
    <w:rsid w:val="00022D74"/>
    <w:rsid w:val="00025744"/>
    <w:rsid w:val="00040B1D"/>
    <w:rsid w:val="00042775"/>
    <w:rsid w:val="00045D19"/>
    <w:rsid w:val="0005101F"/>
    <w:rsid w:val="00065DA1"/>
    <w:rsid w:val="00065E7D"/>
    <w:rsid w:val="00072BAB"/>
    <w:rsid w:val="0008419B"/>
    <w:rsid w:val="00087E4F"/>
    <w:rsid w:val="00087EB5"/>
    <w:rsid w:val="00091360"/>
    <w:rsid w:val="00091FD4"/>
    <w:rsid w:val="00094B9E"/>
    <w:rsid w:val="00094C07"/>
    <w:rsid w:val="000952BA"/>
    <w:rsid w:val="00096136"/>
    <w:rsid w:val="00097080"/>
    <w:rsid w:val="000A1C62"/>
    <w:rsid w:val="000A2D9A"/>
    <w:rsid w:val="000B10A5"/>
    <w:rsid w:val="000B4AF5"/>
    <w:rsid w:val="000B577B"/>
    <w:rsid w:val="000B6115"/>
    <w:rsid w:val="000C07E9"/>
    <w:rsid w:val="000D029B"/>
    <w:rsid w:val="000D50CB"/>
    <w:rsid w:val="000E2930"/>
    <w:rsid w:val="000F56EE"/>
    <w:rsid w:val="000F5CFE"/>
    <w:rsid w:val="001009F4"/>
    <w:rsid w:val="00106B0E"/>
    <w:rsid w:val="00114E85"/>
    <w:rsid w:val="001215E6"/>
    <w:rsid w:val="001256AB"/>
    <w:rsid w:val="0012774E"/>
    <w:rsid w:val="00130652"/>
    <w:rsid w:val="00133783"/>
    <w:rsid w:val="00134FAE"/>
    <w:rsid w:val="001404D6"/>
    <w:rsid w:val="00145598"/>
    <w:rsid w:val="00156DA1"/>
    <w:rsid w:val="00161BD3"/>
    <w:rsid w:val="00162746"/>
    <w:rsid w:val="00164C09"/>
    <w:rsid w:val="00172D29"/>
    <w:rsid w:val="00174902"/>
    <w:rsid w:val="0017608D"/>
    <w:rsid w:val="00176DB7"/>
    <w:rsid w:val="00180F07"/>
    <w:rsid w:val="001820E3"/>
    <w:rsid w:val="00185E74"/>
    <w:rsid w:val="00195F74"/>
    <w:rsid w:val="00196887"/>
    <w:rsid w:val="001B3595"/>
    <w:rsid w:val="001C4153"/>
    <w:rsid w:val="001F08E4"/>
    <w:rsid w:val="001F4700"/>
    <w:rsid w:val="00204C28"/>
    <w:rsid w:val="00205B4C"/>
    <w:rsid w:val="00224E8F"/>
    <w:rsid w:val="00225C4F"/>
    <w:rsid w:val="0023516F"/>
    <w:rsid w:val="00240BC9"/>
    <w:rsid w:val="002528BF"/>
    <w:rsid w:val="0025401B"/>
    <w:rsid w:val="00256E89"/>
    <w:rsid w:val="002572FB"/>
    <w:rsid w:val="00262AB1"/>
    <w:rsid w:val="00263A70"/>
    <w:rsid w:val="002657F0"/>
    <w:rsid w:val="002730F6"/>
    <w:rsid w:val="00274AF2"/>
    <w:rsid w:val="00280B11"/>
    <w:rsid w:val="00282613"/>
    <w:rsid w:val="00282813"/>
    <w:rsid w:val="002931EA"/>
    <w:rsid w:val="00294CE6"/>
    <w:rsid w:val="0029618C"/>
    <w:rsid w:val="002A01E3"/>
    <w:rsid w:val="002A5FB8"/>
    <w:rsid w:val="002C133D"/>
    <w:rsid w:val="002D07A2"/>
    <w:rsid w:val="002D2AF2"/>
    <w:rsid w:val="002E2AEF"/>
    <w:rsid w:val="002F2E31"/>
    <w:rsid w:val="00300BFA"/>
    <w:rsid w:val="00303DE9"/>
    <w:rsid w:val="00304DC3"/>
    <w:rsid w:val="003071E9"/>
    <w:rsid w:val="00313FEE"/>
    <w:rsid w:val="0031773B"/>
    <w:rsid w:val="00321A69"/>
    <w:rsid w:val="00325D35"/>
    <w:rsid w:val="00333952"/>
    <w:rsid w:val="00336AF7"/>
    <w:rsid w:val="00337A9D"/>
    <w:rsid w:val="00343C19"/>
    <w:rsid w:val="00346AAA"/>
    <w:rsid w:val="00350F6D"/>
    <w:rsid w:val="00351002"/>
    <w:rsid w:val="0035774A"/>
    <w:rsid w:val="00363D31"/>
    <w:rsid w:val="003669CD"/>
    <w:rsid w:val="00367BA7"/>
    <w:rsid w:val="00380335"/>
    <w:rsid w:val="00383255"/>
    <w:rsid w:val="003837E4"/>
    <w:rsid w:val="00385FA6"/>
    <w:rsid w:val="00387168"/>
    <w:rsid w:val="0038776A"/>
    <w:rsid w:val="003941FF"/>
    <w:rsid w:val="003A14E6"/>
    <w:rsid w:val="003A3300"/>
    <w:rsid w:val="003A4FAD"/>
    <w:rsid w:val="003A7C76"/>
    <w:rsid w:val="003B277A"/>
    <w:rsid w:val="003C0FDF"/>
    <w:rsid w:val="003C1E65"/>
    <w:rsid w:val="003C321D"/>
    <w:rsid w:val="003C3601"/>
    <w:rsid w:val="003C48C5"/>
    <w:rsid w:val="003C5665"/>
    <w:rsid w:val="003D0191"/>
    <w:rsid w:val="003D6032"/>
    <w:rsid w:val="003E4D8B"/>
    <w:rsid w:val="003F3890"/>
    <w:rsid w:val="003F5A8D"/>
    <w:rsid w:val="003F61D2"/>
    <w:rsid w:val="004019D8"/>
    <w:rsid w:val="0040407E"/>
    <w:rsid w:val="004142D6"/>
    <w:rsid w:val="004143AE"/>
    <w:rsid w:val="00417ADC"/>
    <w:rsid w:val="00424DC9"/>
    <w:rsid w:val="00425853"/>
    <w:rsid w:val="004316B7"/>
    <w:rsid w:val="00434974"/>
    <w:rsid w:val="004414D7"/>
    <w:rsid w:val="00441F36"/>
    <w:rsid w:val="004427F4"/>
    <w:rsid w:val="0044551E"/>
    <w:rsid w:val="00457DD6"/>
    <w:rsid w:val="004624B7"/>
    <w:rsid w:val="004627F2"/>
    <w:rsid w:val="00463CE2"/>
    <w:rsid w:val="004659B3"/>
    <w:rsid w:val="00474900"/>
    <w:rsid w:val="00480041"/>
    <w:rsid w:val="00487858"/>
    <w:rsid w:val="004942D9"/>
    <w:rsid w:val="00497D04"/>
    <w:rsid w:val="004A3B47"/>
    <w:rsid w:val="004A5107"/>
    <w:rsid w:val="004A7CB6"/>
    <w:rsid w:val="004B1C7C"/>
    <w:rsid w:val="004B2588"/>
    <w:rsid w:val="004B5323"/>
    <w:rsid w:val="004D1043"/>
    <w:rsid w:val="004D6B6A"/>
    <w:rsid w:val="004E2930"/>
    <w:rsid w:val="004E2F71"/>
    <w:rsid w:val="004E6C9F"/>
    <w:rsid w:val="004F6320"/>
    <w:rsid w:val="0050689F"/>
    <w:rsid w:val="00507496"/>
    <w:rsid w:val="00511D33"/>
    <w:rsid w:val="005154B6"/>
    <w:rsid w:val="005245F8"/>
    <w:rsid w:val="00524F11"/>
    <w:rsid w:val="00527A7C"/>
    <w:rsid w:val="005323A9"/>
    <w:rsid w:val="00542D5A"/>
    <w:rsid w:val="00552933"/>
    <w:rsid w:val="005535CA"/>
    <w:rsid w:val="00557AB0"/>
    <w:rsid w:val="00565CB0"/>
    <w:rsid w:val="00574314"/>
    <w:rsid w:val="00594EB9"/>
    <w:rsid w:val="005972FC"/>
    <w:rsid w:val="00597892"/>
    <w:rsid w:val="005A6F24"/>
    <w:rsid w:val="005B08B2"/>
    <w:rsid w:val="005B1F1B"/>
    <w:rsid w:val="005C39EC"/>
    <w:rsid w:val="005C3C7E"/>
    <w:rsid w:val="005C7FB9"/>
    <w:rsid w:val="005D4F69"/>
    <w:rsid w:val="005F29C4"/>
    <w:rsid w:val="005F3735"/>
    <w:rsid w:val="006027A0"/>
    <w:rsid w:val="0060680A"/>
    <w:rsid w:val="00614771"/>
    <w:rsid w:val="00614D69"/>
    <w:rsid w:val="00625740"/>
    <w:rsid w:val="00625E24"/>
    <w:rsid w:val="0062784E"/>
    <w:rsid w:val="006324D8"/>
    <w:rsid w:val="00635E50"/>
    <w:rsid w:val="00640AD2"/>
    <w:rsid w:val="00640C87"/>
    <w:rsid w:val="00644EAD"/>
    <w:rsid w:val="00650377"/>
    <w:rsid w:val="00653F71"/>
    <w:rsid w:val="0065456F"/>
    <w:rsid w:val="0066788A"/>
    <w:rsid w:val="00667F8D"/>
    <w:rsid w:val="0067768D"/>
    <w:rsid w:val="00682676"/>
    <w:rsid w:val="006831BF"/>
    <w:rsid w:val="00690A52"/>
    <w:rsid w:val="00694FCB"/>
    <w:rsid w:val="006A7FC9"/>
    <w:rsid w:val="006B5321"/>
    <w:rsid w:val="006C0E2B"/>
    <w:rsid w:val="006C61E8"/>
    <w:rsid w:val="006D1F3E"/>
    <w:rsid w:val="006D7004"/>
    <w:rsid w:val="006E08C6"/>
    <w:rsid w:val="006F2585"/>
    <w:rsid w:val="006F3E07"/>
    <w:rsid w:val="006F5B2C"/>
    <w:rsid w:val="007034B8"/>
    <w:rsid w:val="007040E8"/>
    <w:rsid w:val="007053E4"/>
    <w:rsid w:val="00705936"/>
    <w:rsid w:val="0070643F"/>
    <w:rsid w:val="00706C7B"/>
    <w:rsid w:val="00706D5D"/>
    <w:rsid w:val="00707BC6"/>
    <w:rsid w:val="00712640"/>
    <w:rsid w:val="007179BC"/>
    <w:rsid w:val="00723ACE"/>
    <w:rsid w:val="00724A66"/>
    <w:rsid w:val="0073207F"/>
    <w:rsid w:val="0073403B"/>
    <w:rsid w:val="00736DCB"/>
    <w:rsid w:val="0075174D"/>
    <w:rsid w:val="00755D14"/>
    <w:rsid w:val="00766873"/>
    <w:rsid w:val="007804E3"/>
    <w:rsid w:val="00785119"/>
    <w:rsid w:val="00792CE2"/>
    <w:rsid w:val="007B162C"/>
    <w:rsid w:val="007B366B"/>
    <w:rsid w:val="007B3E0A"/>
    <w:rsid w:val="007C1F16"/>
    <w:rsid w:val="007C35F4"/>
    <w:rsid w:val="007D1D7F"/>
    <w:rsid w:val="007D1DE2"/>
    <w:rsid w:val="007D4C7F"/>
    <w:rsid w:val="007E21AE"/>
    <w:rsid w:val="007E70F1"/>
    <w:rsid w:val="007F447B"/>
    <w:rsid w:val="00803841"/>
    <w:rsid w:val="00804C7C"/>
    <w:rsid w:val="0080678D"/>
    <w:rsid w:val="00811395"/>
    <w:rsid w:val="00814587"/>
    <w:rsid w:val="008157FF"/>
    <w:rsid w:val="00816B48"/>
    <w:rsid w:val="00817C0A"/>
    <w:rsid w:val="00820F78"/>
    <w:rsid w:val="008312CA"/>
    <w:rsid w:val="00835E88"/>
    <w:rsid w:val="008416F6"/>
    <w:rsid w:val="008422F5"/>
    <w:rsid w:val="0084582B"/>
    <w:rsid w:val="0084751C"/>
    <w:rsid w:val="008559CA"/>
    <w:rsid w:val="008579E6"/>
    <w:rsid w:val="0086351E"/>
    <w:rsid w:val="00865060"/>
    <w:rsid w:val="00873567"/>
    <w:rsid w:val="008744CD"/>
    <w:rsid w:val="00882778"/>
    <w:rsid w:val="008933E3"/>
    <w:rsid w:val="008935F2"/>
    <w:rsid w:val="008948F1"/>
    <w:rsid w:val="008A6031"/>
    <w:rsid w:val="008B4AB5"/>
    <w:rsid w:val="008C0B60"/>
    <w:rsid w:val="008C4320"/>
    <w:rsid w:val="008D5624"/>
    <w:rsid w:val="008D7759"/>
    <w:rsid w:val="008E026B"/>
    <w:rsid w:val="008E0A9C"/>
    <w:rsid w:val="008E4D76"/>
    <w:rsid w:val="008E7621"/>
    <w:rsid w:val="008F4B10"/>
    <w:rsid w:val="008F7B56"/>
    <w:rsid w:val="00907DFF"/>
    <w:rsid w:val="009109A9"/>
    <w:rsid w:val="009163B9"/>
    <w:rsid w:val="0092144F"/>
    <w:rsid w:val="009241A5"/>
    <w:rsid w:val="00925842"/>
    <w:rsid w:val="009351DE"/>
    <w:rsid w:val="009355D9"/>
    <w:rsid w:val="00935E48"/>
    <w:rsid w:val="00942860"/>
    <w:rsid w:val="00943452"/>
    <w:rsid w:val="00956858"/>
    <w:rsid w:val="00957E25"/>
    <w:rsid w:val="0096002C"/>
    <w:rsid w:val="0096176E"/>
    <w:rsid w:val="00963634"/>
    <w:rsid w:val="00964D31"/>
    <w:rsid w:val="00965321"/>
    <w:rsid w:val="009659FC"/>
    <w:rsid w:val="0096740C"/>
    <w:rsid w:val="0098128F"/>
    <w:rsid w:val="00981557"/>
    <w:rsid w:val="00981F80"/>
    <w:rsid w:val="00984BBE"/>
    <w:rsid w:val="00986297"/>
    <w:rsid w:val="009924AD"/>
    <w:rsid w:val="009958AF"/>
    <w:rsid w:val="009B5AAE"/>
    <w:rsid w:val="009B63AF"/>
    <w:rsid w:val="009B7B8A"/>
    <w:rsid w:val="009C5DA2"/>
    <w:rsid w:val="009D4BA6"/>
    <w:rsid w:val="009E5B45"/>
    <w:rsid w:val="009F26F2"/>
    <w:rsid w:val="009F49CA"/>
    <w:rsid w:val="00A1496F"/>
    <w:rsid w:val="00A16E72"/>
    <w:rsid w:val="00A179B4"/>
    <w:rsid w:val="00A226D8"/>
    <w:rsid w:val="00A25EF9"/>
    <w:rsid w:val="00A35841"/>
    <w:rsid w:val="00A43FA8"/>
    <w:rsid w:val="00A45D28"/>
    <w:rsid w:val="00A46E70"/>
    <w:rsid w:val="00A504F8"/>
    <w:rsid w:val="00A53840"/>
    <w:rsid w:val="00A554A5"/>
    <w:rsid w:val="00A55F52"/>
    <w:rsid w:val="00A56A63"/>
    <w:rsid w:val="00A767F7"/>
    <w:rsid w:val="00A91033"/>
    <w:rsid w:val="00A91C2E"/>
    <w:rsid w:val="00A936FA"/>
    <w:rsid w:val="00AA0B8C"/>
    <w:rsid w:val="00AA77CB"/>
    <w:rsid w:val="00AB0CB0"/>
    <w:rsid w:val="00AB571E"/>
    <w:rsid w:val="00AB6DD0"/>
    <w:rsid w:val="00AC72CD"/>
    <w:rsid w:val="00AD4613"/>
    <w:rsid w:val="00AE07CC"/>
    <w:rsid w:val="00AF3FB7"/>
    <w:rsid w:val="00AF4A89"/>
    <w:rsid w:val="00AF7E58"/>
    <w:rsid w:val="00B03B1B"/>
    <w:rsid w:val="00B06A4A"/>
    <w:rsid w:val="00B11324"/>
    <w:rsid w:val="00B17B54"/>
    <w:rsid w:val="00B2402D"/>
    <w:rsid w:val="00B26822"/>
    <w:rsid w:val="00B34C92"/>
    <w:rsid w:val="00B62EB9"/>
    <w:rsid w:val="00B652B2"/>
    <w:rsid w:val="00B7291E"/>
    <w:rsid w:val="00B90C32"/>
    <w:rsid w:val="00B92CE0"/>
    <w:rsid w:val="00B94E8E"/>
    <w:rsid w:val="00B975CA"/>
    <w:rsid w:val="00BA4E1E"/>
    <w:rsid w:val="00BB5A09"/>
    <w:rsid w:val="00BB787F"/>
    <w:rsid w:val="00BC7ADF"/>
    <w:rsid w:val="00BD26FB"/>
    <w:rsid w:val="00BD287D"/>
    <w:rsid w:val="00BD7367"/>
    <w:rsid w:val="00BE4413"/>
    <w:rsid w:val="00BE538C"/>
    <w:rsid w:val="00BE5471"/>
    <w:rsid w:val="00BE5A8F"/>
    <w:rsid w:val="00BE7EC3"/>
    <w:rsid w:val="00BF2B9A"/>
    <w:rsid w:val="00BF2E83"/>
    <w:rsid w:val="00BF6708"/>
    <w:rsid w:val="00C0195A"/>
    <w:rsid w:val="00C118A9"/>
    <w:rsid w:val="00C2497B"/>
    <w:rsid w:val="00C27DAD"/>
    <w:rsid w:val="00C41C43"/>
    <w:rsid w:val="00C4561C"/>
    <w:rsid w:val="00C4639C"/>
    <w:rsid w:val="00C5260F"/>
    <w:rsid w:val="00C52F14"/>
    <w:rsid w:val="00C55E9D"/>
    <w:rsid w:val="00C56A51"/>
    <w:rsid w:val="00C60AF2"/>
    <w:rsid w:val="00C7365C"/>
    <w:rsid w:val="00C80AB0"/>
    <w:rsid w:val="00C869E2"/>
    <w:rsid w:val="00C91179"/>
    <w:rsid w:val="00CA5A8F"/>
    <w:rsid w:val="00CB4E26"/>
    <w:rsid w:val="00CC214B"/>
    <w:rsid w:val="00CC3949"/>
    <w:rsid w:val="00CC5FAB"/>
    <w:rsid w:val="00CC680A"/>
    <w:rsid w:val="00CD5C86"/>
    <w:rsid w:val="00CD7F27"/>
    <w:rsid w:val="00CF6C8B"/>
    <w:rsid w:val="00CF7FB7"/>
    <w:rsid w:val="00D020C2"/>
    <w:rsid w:val="00D1478B"/>
    <w:rsid w:val="00D23363"/>
    <w:rsid w:val="00D31D92"/>
    <w:rsid w:val="00D42930"/>
    <w:rsid w:val="00D45053"/>
    <w:rsid w:val="00D5446E"/>
    <w:rsid w:val="00D54A52"/>
    <w:rsid w:val="00D65F09"/>
    <w:rsid w:val="00D6765F"/>
    <w:rsid w:val="00D70139"/>
    <w:rsid w:val="00D71623"/>
    <w:rsid w:val="00D77124"/>
    <w:rsid w:val="00D7761A"/>
    <w:rsid w:val="00D8609D"/>
    <w:rsid w:val="00D87013"/>
    <w:rsid w:val="00DA2970"/>
    <w:rsid w:val="00DA42ED"/>
    <w:rsid w:val="00DB4C35"/>
    <w:rsid w:val="00DC23B5"/>
    <w:rsid w:val="00DC2E13"/>
    <w:rsid w:val="00DC7E7C"/>
    <w:rsid w:val="00DE7881"/>
    <w:rsid w:val="00DF1BCD"/>
    <w:rsid w:val="00DF53C0"/>
    <w:rsid w:val="00E041F4"/>
    <w:rsid w:val="00E04EF6"/>
    <w:rsid w:val="00E06B55"/>
    <w:rsid w:val="00E1445C"/>
    <w:rsid w:val="00E1744D"/>
    <w:rsid w:val="00E24FC4"/>
    <w:rsid w:val="00E34BD1"/>
    <w:rsid w:val="00E54761"/>
    <w:rsid w:val="00E57C15"/>
    <w:rsid w:val="00E60531"/>
    <w:rsid w:val="00E67223"/>
    <w:rsid w:val="00E700D4"/>
    <w:rsid w:val="00E71A98"/>
    <w:rsid w:val="00E73B5A"/>
    <w:rsid w:val="00E81EC9"/>
    <w:rsid w:val="00E83E2D"/>
    <w:rsid w:val="00E86D82"/>
    <w:rsid w:val="00E87E45"/>
    <w:rsid w:val="00E95BC1"/>
    <w:rsid w:val="00EA44FF"/>
    <w:rsid w:val="00EB0D52"/>
    <w:rsid w:val="00EC514B"/>
    <w:rsid w:val="00EC5FC1"/>
    <w:rsid w:val="00EE073E"/>
    <w:rsid w:val="00EE2552"/>
    <w:rsid w:val="00EF49CC"/>
    <w:rsid w:val="00F01747"/>
    <w:rsid w:val="00F07CDD"/>
    <w:rsid w:val="00F10858"/>
    <w:rsid w:val="00F1196C"/>
    <w:rsid w:val="00F22E24"/>
    <w:rsid w:val="00F23F63"/>
    <w:rsid w:val="00F344EC"/>
    <w:rsid w:val="00F35907"/>
    <w:rsid w:val="00F35BD0"/>
    <w:rsid w:val="00F377B1"/>
    <w:rsid w:val="00F435F0"/>
    <w:rsid w:val="00F45B41"/>
    <w:rsid w:val="00F500A2"/>
    <w:rsid w:val="00F507B1"/>
    <w:rsid w:val="00F50E80"/>
    <w:rsid w:val="00F517FD"/>
    <w:rsid w:val="00F56BDB"/>
    <w:rsid w:val="00F657AB"/>
    <w:rsid w:val="00F819E0"/>
    <w:rsid w:val="00F82DB9"/>
    <w:rsid w:val="00FA0965"/>
    <w:rsid w:val="00FA3D28"/>
    <w:rsid w:val="00FA5F7A"/>
    <w:rsid w:val="00FA5F9D"/>
    <w:rsid w:val="00FA7BDC"/>
    <w:rsid w:val="00FB1238"/>
    <w:rsid w:val="00FB38F8"/>
    <w:rsid w:val="00FC1221"/>
    <w:rsid w:val="00FC2E15"/>
    <w:rsid w:val="00FC3493"/>
    <w:rsid w:val="00FC4B4B"/>
    <w:rsid w:val="00FD4067"/>
    <w:rsid w:val="00FD5F48"/>
    <w:rsid w:val="00FE4231"/>
    <w:rsid w:val="00FE6FDE"/>
    <w:rsid w:val="00FF4EAA"/>
    <w:rsid w:val="00FF519C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8A71-E6CC-478A-BD03-517ADED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12</Pages>
  <Words>3996</Words>
  <Characters>27577</Characters>
  <Application>Microsoft Office Word</Application>
  <DocSecurity>0</DocSecurity>
  <Lines>229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510</cp:revision>
  <cp:lastPrinted>2013-09-05T08:22:00Z</cp:lastPrinted>
  <dcterms:created xsi:type="dcterms:W3CDTF">2013-01-15T09:52:00Z</dcterms:created>
  <dcterms:modified xsi:type="dcterms:W3CDTF">2014-09-15T08:47:00Z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-2134370631</vt:i4>
  </property>
  <property fmtid="{D5CDD505-2E9C-101B-9397-08002B2CF9AE}" pid="3" name="_NewReviewCycle">
    <vt:lpwstr/>
  </property>
  <property fmtid="{D5CDD505-2E9C-101B-9397-08002B2CF9AE}" pid="4" name="_EmailSubject">
    <vt:lpwstr>előterjesztések, testületi ülés 09.22.</vt:lpwstr>
  </property>
  <property fmtid="{D5CDD505-2E9C-101B-9397-08002B2CF9AE}" pid="5" name="_AuthorEmail">
    <vt:lpwstr>tapio@t-online.hu</vt:lpwstr>
  </property>
  <property fmtid="{D5CDD505-2E9C-101B-9397-08002B2CF9AE}" pid="6" name="_AuthorEmailDisplayName">
    <vt:lpwstr>Polgármesteri Hivatal Tápiógyörgye</vt:lpwstr>
  </property>
</Properties>
</file>